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B3A" w:rsidRPr="008844DC" w:rsidRDefault="000E18EE">
      <w:pPr>
        <w:rPr>
          <w:rFonts w:ascii="Arial" w:hAnsi="Arial" w:cs="Arial"/>
          <w:sz w:val="24"/>
          <w:szCs w:val="24"/>
        </w:rPr>
      </w:pPr>
      <w:r>
        <w:rPr>
          <w:rFonts w:ascii="Arial" w:hAnsi="Arial" w:cs="Arial"/>
          <w:sz w:val="24"/>
          <w:szCs w:val="24"/>
        </w:rPr>
        <w:t>VISTA MONTANA ESTATES FAQ</w:t>
      </w:r>
    </w:p>
    <w:p w:rsidR="004C11A8" w:rsidRPr="008844DC" w:rsidRDefault="004C11A8" w:rsidP="004C11A8">
      <w:pPr>
        <w:rPr>
          <w:rFonts w:ascii="Arial" w:hAnsi="Arial" w:cs="Arial"/>
          <w:sz w:val="24"/>
          <w:szCs w:val="24"/>
        </w:rPr>
      </w:pPr>
      <w:r w:rsidRPr="008844DC">
        <w:rPr>
          <w:rFonts w:ascii="Arial" w:hAnsi="Arial" w:cs="Arial"/>
          <w:sz w:val="24"/>
          <w:szCs w:val="24"/>
        </w:rPr>
        <w:t xml:space="preserve">The following are some of the most asked questions about the </w:t>
      </w:r>
      <w:r w:rsidR="008844DC">
        <w:rPr>
          <w:rFonts w:ascii="Arial" w:hAnsi="Arial" w:cs="Arial"/>
          <w:sz w:val="24"/>
          <w:szCs w:val="24"/>
        </w:rPr>
        <w:t xml:space="preserve">Vista Montana </w:t>
      </w:r>
      <w:r w:rsidR="006517E1">
        <w:rPr>
          <w:rFonts w:ascii="Arial" w:hAnsi="Arial" w:cs="Arial"/>
          <w:sz w:val="24"/>
          <w:szCs w:val="24"/>
        </w:rPr>
        <w:t>Estates (VME)</w:t>
      </w:r>
      <w:r w:rsidR="006517E1" w:rsidRPr="008844DC">
        <w:rPr>
          <w:rFonts w:ascii="Arial" w:hAnsi="Arial" w:cs="Arial"/>
          <w:sz w:val="24"/>
          <w:szCs w:val="24"/>
        </w:rPr>
        <w:t xml:space="preserve"> </w:t>
      </w:r>
      <w:r w:rsidR="008844DC">
        <w:rPr>
          <w:rFonts w:ascii="Arial" w:hAnsi="Arial" w:cs="Arial"/>
          <w:sz w:val="24"/>
          <w:szCs w:val="24"/>
        </w:rPr>
        <w:t>Homeownership</w:t>
      </w:r>
      <w:r w:rsidR="00BA0E2F">
        <w:rPr>
          <w:rFonts w:ascii="Arial" w:hAnsi="Arial" w:cs="Arial"/>
          <w:sz w:val="24"/>
          <w:szCs w:val="24"/>
        </w:rPr>
        <w:t xml:space="preserve"> </w:t>
      </w:r>
      <w:r w:rsidRPr="008844DC">
        <w:rPr>
          <w:rFonts w:ascii="Arial" w:hAnsi="Arial" w:cs="Arial"/>
          <w:sz w:val="24"/>
          <w:szCs w:val="24"/>
        </w:rPr>
        <w:t>Program. The lender you choose to work with can provide further detail and more clarity on your specific situation.</w:t>
      </w:r>
    </w:p>
    <w:p w:rsidR="00EA2FA0" w:rsidRPr="008844DC" w:rsidRDefault="00EA2FA0" w:rsidP="00EA2FA0">
      <w:pPr>
        <w:rPr>
          <w:rFonts w:ascii="Arial" w:hAnsi="Arial" w:cs="Arial"/>
          <w:sz w:val="24"/>
          <w:szCs w:val="24"/>
        </w:rPr>
      </w:pPr>
      <w:r>
        <w:rPr>
          <w:rFonts w:ascii="Arial" w:hAnsi="Arial" w:cs="Arial"/>
          <w:sz w:val="24"/>
          <w:szCs w:val="24"/>
        </w:rPr>
        <w:t>Q:  How do you qualify to purchase a home from SALT in Vista Montana Estates?</w:t>
      </w:r>
    </w:p>
    <w:p w:rsidR="00000000" w:rsidRDefault="00EA2FA0" w:rsidP="00EA2FA0">
      <w:pPr>
        <w:rPr>
          <w:rFonts w:ascii="Arial" w:hAnsi="Arial" w:cs="Arial"/>
        </w:rPr>
      </w:pPr>
      <w:r>
        <w:rPr>
          <w:rFonts w:ascii="Arial" w:hAnsi="Arial" w:cs="Arial"/>
          <w:sz w:val="24"/>
          <w:szCs w:val="24"/>
        </w:rPr>
        <w:t xml:space="preserve">A:  </w:t>
      </w:r>
      <w:r w:rsidR="00E503ED" w:rsidRPr="00EA2FA0">
        <w:rPr>
          <w:rFonts w:ascii="Arial" w:hAnsi="Arial" w:cs="Arial"/>
        </w:rPr>
        <w:t xml:space="preserve">1. </w:t>
      </w:r>
      <w:r>
        <w:rPr>
          <w:rFonts w:ascii="Arial" w:hAnsi="Arial" w:cs="Arial"/>
        </w:rPr>
        <w:t>Buyer(s) c</w:t>
      </w:r>
      <w:r w:rsidR="00E503ED" w:rsidRPr="00EA2FA0">
        <w:rPr>
          <w:rFonts w:ascii="Arial" w:hAnsi="Arial" w:cs="Arial"/>
        </w:rPr>
        <w:t xml:space="preserve">an </w:t>
      </w:r>
      <w:r w:rsidR="00E503ED" w:rsidRPr="00EA2FA0">
        <w:rPr>
          <w:rFonts w:ascii="Arial" w:hAnsi="Arial" w:cs="Arial"/>
        </w:rPr>
        <w:t>make up to 120% of the Area Median Income</w:t>
      </w:r>
      <w:r w:rsidR="008F035F">
        <w:rPr>
          <w:rFonts w:ascii="Arial" w:hAnsi="Arial" w:cs="Arial"/>
        </w:rPr>
        <w:t>, based on household size</w:t>
      </w:r>
      <w:r w:rsidR="00E503ED" w:rsidRPr="00EA2FA0">
        <w:rPr>
          <w:rFonts w:ascii="Arial" w:hAnsi="Arial" w:cs="Arial"/>
        </w:rPr>
        <w:t xml:space="preserve">. </w:t>
      </w:r>
    </w:p>
    <w:tbl>
      <w:tblPr>
        <w:tblW w:w="8810" w:type="dxa"/>
        <w:tblInd w:w="350" w:type="dxa"/>
        <w:tblCellMar>
          <w:left w:w="0" w:type="dxa"/>
          <w:right w:w="0" w:type="dxa"/>
        </w:tblCellMar>
        <w:tblLook w:val="0420" w:firstRow="1" w:lastRow="0" w:firstColumn="0" w:lastColumn="0" w:noHBand="0" w:noVBand="1"/>
      </w:tblPr>
      <w:tblGrid>
        <w:gridCol w:w="1658"/>
        <w:gridCol w:w="885"/>
        <w:gridCol w:w="881"/>
        <w:gridCol w:w="881"/>
        <w:gridCol w:w="881"/>
        <w:gridCol w:w="895"/>
        <w:gridCol w:w="881"/>
        <w:gridCol w:w="881"/>
        <w:gridCol w:w="967"/>
      </w:tblGrid>
      <w:tr w:rsidR="008F035F" w:rsidRPr="008F035F" w:rsidTr="008F035F">
        <w:trPr>
          <w:trHeight w:val="265"/>
        </w:trPr>
        <w:tc>
          <w:tcPr>
            <w:tcW w:w="1658" w:type="dxa"/>
            <w:tcBorders>
              <w:top w:val="single" w:sz="8" w:space="0" w:color="FFFFFF"/>
              <w:left w:val="single" w:sz="8" w:space="0" w:color="FFFFFF"/>
              <w:bottom w:val="single" w:sz="24" w:space="0" w:color="FFFFFF"/>
              <w:right w:val="single" w:sz="8" w:space="0" w:color="FFFFFF"/>
            </w:tcBorders>
            <w:shd w:val="clear" w:color="auto" w:fill="1CADE4"/>
            <w:tcMar>
              <w:top w:w="57" w:type="dxa"/>
              <w:left w:w="115" w:type="dxa"/>
              <w:bottom w:w="57" w:type="dxa"/>
              <w:right w:w="115" w:type="dxa"/>
            </w:tcMar>
            <w:hideMark/>
          </w:tcPr>
          <w:p w:rsidR="008F035F" w:rsidRPr="008F035F" w:rsidRDefault="008F035F" w:rsidP="008F035F">
            <w:pPr>
              <w:rPr>
                <w:rFonts w:ascii="Arial" w:hAnsi="Arial" w:cs="Arial"/>
                <w:sz w:val="18"/>
              </w:rPr>
            </w:pPr>
            <w:r w:rsidRPr="008F035F">
              <w:rPr>
                <w:rFonts w:ascii="Arial" w:hAnsi="Arial" w:cs="Arial"/>
                <w:b/>
                <w:bCs/>
                <w:sz w:val="18"/>
              </w:rPr>
              <w:t>Household Size</w:t>
            </w:r>
          </w:p>
        </w:tc>
        <w:tc>
          <w:tcPr>
            <w:tcW w:w="885" w:type="dxa"/>
            <w:tcBorders>
              <w:top w:val="single" w:sz="8" w:space="0" w:color="FFFFFF"/>
              <w:left w:val="single" w:sz="8" w:space="0" w:color="FFFFFF"/>
              <w:bottom w:val="single" w:sz="24" w:space="0" w:color="FFFFFF"/>
              <w:right w:val="single" w:sz="8" w:space="0" w:color="FFFFFF"/>
            </w:tcBorders>
            <w:shd w:val="clear" w:color="auto" w:fill="1CADE4"/>
            <w:tcMar>
              <w:top w:w="57" w:type="dxa"/>
              <w:left w:w="115" w:type="dxa"/>
              <w:bottom w:w="57" w:type="dxa"/>
              <w:right w:w="115" w:type="dxa"/>
            </w:tcMar>
            <w:hideMark/>
          </w:tcPr>
          <w:p w:rsidR="008F035F" w:rsidRPr="008F035F" w:rsidRDefault="008F035F" w:rsidP="008F035F">
            <w:pPr>
              <w:jc w:val="center"/>
              <w:rPr>
                <w:rFonts w:ascii="Arial" w:hAnsi="Arial" w:cs="Arial"/>
                <w:sz w:val="18"/>
              </w:rPr>
            </w:pPr>
            <w:r w:rsidRPr="008F035F">
              <w:rPr>
                <w:rFonts w:ascii="Arial" w:hAnsi="Arial" w:cs="Arial"/>
                <w:b/>
                <w:bCs/>
                <w:sz w:val="18"/>
              </w:rPr>
              <w:t>1</w:t>
            </w:r>
          </w:p>
        </w:tc>
        <w:tc>
          <w:tcPr>
            <w:tcW w:w="881" w:type="dxa"/>
            <w:tcBorders>
              <w:top w:val="single" w:sz="8" w:space="0" w:color="FFFFFF"/>
              <w:left w:val="single" w:sz="8" w:space="0" w:color="FFFFFF"/>
              <w:bottom w:val="single" w:sz="24" w:space="0" w:color="FFFFFF"/>
              <w:right w:val="single" w:sz="8" w:space="0" w:color="FFFFFF"/>
            </w:tcBorders>
            <w:shd w:val="clear" w:color="auto" w:fill="1CADE4"/>
            <w:tcMar>
              <w:top w:w="57" w:type="dxa"/>
              <w:left w:w="115" w:type="dxa"/>
              <w:bottom w:w="57" w:type="dxa"/>
              <w:right w:w="115" w:type="dxa"/>
            </w:tcMar>
            <w:hideMark/>
          </w:tcPr>
          <w:p w:rsidR="008F035F" w:rsidRPr="008F035F" w:rsidRDefault="008F035F" w:rsidP="008F035F">
            <w:pPr>
              <w:jc w:val="center"/>
              <w:rPr>
                <w:rFonts w:ascii="Arial" w:hAnsi="Arial" w:cs="Arial"/>
                <w:sz w:val="18"/>
              </w:rPr>
            </w:pPr>
            <w:r w:rsidRPr="008F035F">
              <w:rPr>
                <w:rFonts w:ascii="Arial" w:hAnsi="Arial" w:cs="Arial"/>
                <w:b/>
                <w:bCs/>
                <w:sz w:val="18"/>
              </w:rPr>
              <w:t>2</w:t>
            </w:r>
          </w:p>
        </w:tc>
        <w:tc>
          <w:tcPr>
            <w:tcW w:w="881" w:type="dxa"/>
            <w:tcBorders>
              <w:top w:val="single" w:sz="8" w:space="0" w:color="FFFFFF"/>
              <w:left w:val="single" w:sz="8" w:space="0" w:color="FFFFFF"/>
              <w:bottom w:val="single" w:sz="24" w:space="0" w:color="FFFFFF"/>
              <w:right w:val="single" w:sz="8" w:space="0" w:color="FFFFFF"/>
            </w:tcBorders>
            <w:shd w:val="clear" w:color="auto" w:fill="1CADE4"/>
            <w:tcMar>
              <w:top w:w="57" w:type="dxa"/>
              <w:left w:w="115" w:type="dxa"/>
              <w:bottom w:w="57" w:type="dxa"/>
              <w:right w:w="115" w:type="dxa"/>
            </w:tcMar>
            <w:hideMark/>
          </w:tcPr>
          <w:p w:rsidR="008F035F" w:rsidRPr="008F035F" w:rsidRDefault="008F035F" w:rsidP="008F035F">
            <w:pPr>
              <w:jc w:val="center"/>
              <w:rPr>
                <w:rFonts w:ascii="Arial" w:hAnsi="Arial" w:cs="Arial"/>
                <w:sz w:val="18"/>
              </w:rPr>
            </w:pPr>
            <w:r w:rsidRPr="008F035F">
              <w:rPr>
                <w:rFonts w:ascii="Arial" w:hAnsi="Arial" w:cs="Arial"/>
                <w:b/>
                <w:bCs/>
                <w:sz w:val="18"/>
              </w:rPr>
              <w:t>3</w:t>
            </w:r>
          </w:p>
        </w:tc>
        <w:tc>
          <w:tcPr>
            <w:tcW w:w="881" w:type="dxa"/>
            <w:tcBorders>
              <w:top w:val="single" w:sz="8" w:space="0" w:color="FFFFFF"/>
              <w:left w:val="single" w:sz="8" w:space="0" w:color="FFFFFF"/>
              <w:bottom w:val="single" w:sz="24" w:space="0" w:color="FFFFFF"/>
              <w:right w:val="single" w:sz="8" w:space="0" w:color="FFFFFF"/>
            </w:tcBorders>
            <w:shd w:val="clear" w:color="auto" w:fill="1CADE4"/>
            <w:tcMar>
              <w:top w:w="57" w:type="dxa"/>
              <w:left w:w="115" w:type="dxa"/>
              <w:bottom w:w="57" w:type="dxa"/>
              <w:right w:w="115" w:type="dxa"/>
            </w:tcMar>
            <w:hideMark/>
          </w:tcPr>
          <w:p w:rsidR="008F035F" w:rsidRPr="008F035F" w:rsidRDefault="008F035F" w:rsidP="008F035F">
            <w:pPr>
              <w:jc w:val="center"/>
              <w:rPr>
                <w:rFonts w:ascii="Arial" w:hAnsi="Arial" w:cs="Arial"/>
                <w:sz w:val="18"/>
              </w:rPr>
            </w:pPr>
            <w:r w:rsidRPr="008F035F">
              <w:rPr>
                <w:rFonts w:ascii="Arial" w:hAnsi="Arial" w:cs="Arial"/>
                <w:b/>
                <w:bCs/>
                <w:sz w:val="18"/>
              </w:rPr>
              <w:t>4</w:t>
            </w:r>
          </w:p>
        </w:tc>
        <w:tc>
          <w:tcPr>
            <w:tcW w:w="895" w:type="dxa"/>
            <w:tcBorders>
              <w:top w:val="single" w:sz="8" w:space="0" w:color="FFFFFF"/>
              <w:left w:val="single" w:sz="8" w:space="0" w:color="FFFFFF"/>
              <w:bottom w:val="single" w:sz="24" w:space="0" w:color="FFFFFF"/>
              <w:right w:val="single" w:sz="8" w:space="0" w:color="FFFFFF"/>
            </w:tcBorders>
            <w:shd w:val="clear" w:color="auto" w:fill="1CADE4"/>
            <w:tcMar>
              <w:top w:w="57" w:type="dxa"/>
              <w:left w:w="115" w:type="dxa"/>
              <w:bottom w:w="57" w:type="dxa"/>
              <w:right w:w="115" w:type="dxa"/>
            </w:tcMar>
            <w:hideMark/>
          </w:tcPr>
          <w:p w:rsidR="008F035F" w:rsidRPr="008F035F" w:rsidRDefault="008F035F" w:rsidP="008F035F">
            <w:pPr>
              <w:jc w:val="center"/>
              <w:rPr>
                <w:rFonts w:ascii="Arial" w:hAnsi="Arial" w:cs="Arial"/>
                <w:sz w:val="18"/>
              </w:rPr>
            </w:pPr>
            <w:r w:rsidRPr="008F035F">
              <w:rPr>
                <w:rFonts w:ascii="Arial" w:hAnsi="Arial" w:cs="Arial"/>
                <w:b/>
                <w:bCs/>
                <w:sz w:val="18"/>
              </w:rPr>
              <w:t>5</w:t>
            </w:r>
          </w:p>
        </w:tc>
        <w:tc>
          <w:tcPr>
            <w:tcW w:w="881" w:type="dxa"/>
            <w:tcBorders>
              <w:top w:val="single" w:sz="8" w:space="0" w:color="FFFFFF"/>
              <w:left w:val="single" w:sz="8" w:space="0" w:color="FFFFFF"/>
              <w:bottom w:val="single" w:sz="24" w:space="0" w:color="FFFFFF"/>
              <w:right w:val="single" w:sz="8" w:space="0" w:color="FFFFFF"/>
            </w:tcBorders>
            <w:shd w:val="clear" w:color="auto" w:fill="1CADE4"/>
            <w:tcMar>
              <w:top w:w="57" w:type="dxa"/>
              <w:left w:w="115" w:type="dxa"/>
              <w:bottom w:w="57" w:type="dxa"/>
              <w:right w:w="115" w:type="dxa"/>
            </w:tcMar>
            <w:hideMark/>
          </w:tcPr>
          <w:p w:rsidR="008F035F" w:rsidRPr="008F035F" w:rsidRDefault="008F035F" w:rsidP="008F035F">
            <w:pPr>
              <w:jc w:val="center"/>
              <w:rPr>
                <w:rFonts w:ascii="Arial" w:hAnsi="Arial" w:cs="Arial"/>
                <w:sz w:val="18"/>
              </w:rPr>
            </w:pPr>
            <w:r w:rsidRPr="008F035F">
              <w:rPr>
                <w:rFonts w:ascii="Arial" w:hAnsi="Arial" w:cs="Arial"/>
                <w:b/>
                <w:bCs/>
                <w:sz w:val="18"/>
              </w:rPr>
              <w:t>6</w:t>
            </w:r>
          </w:p>
        </w:tc>
        <w:tc>
          <w:tcPr>
            <w:tcW w:w="881" w:type="dxa"/>
            <w:tcBorders>
              <w:top w:val="single" w:sz="8" w:space="0" w:color="FFFFFF"/>
              <w:left w:val="single" w:sz="8" w:space="0" w:color="FFFFFF"/>
              <w:bottom w:val="single" w:sz="24" w:space="0" w:color="FFFFFF"/>
              <w:right w:val="single" w:sz="8" w:space="0" w:color="FFFFFF"/>
            </w:tcBorders>
            <w:shd w:val="clear" w:color="auto" w:fill="1CADE4"/>
            <w:tcMar>
              <w:top w:w="57" w:type="dxa"/>
              <w:left w:w="115" w:type="dxa"/>
              <w:bottom w:w="57" w:type="dxa"/>
              <w:right w:w="115" w:type="dxa"/>
            </w:tcMar>
            <w:hideMark/>
          </w:tcPr>
          <w:p w:rsidR="008F035F" w:rsidRPr="008F035F" w:rsidRDefault="008F035F" w:rsidP="008F035F">
            <w:pPr>
              <w:jc w:val="center"/>
              <w:rPr>
                <w:rFonts w:ascii="Arial" w:hAnsi="Arial" w:cs="Arial"/>
                <w:sz w:val="18"/>
              </w:rPr>
            </w:pPr>
            <w:r w:rsidRPr="008F035F">
              <w:rPr>
                <w:rFonts w:ascii="Arial" w:hAnsi="Arial" w:cs="Arial"/>
                <w:b/>
                <w:bCs/>
                <w:sz w:val="18"/>
              </w:rPr>
              <w:t>7</w:t>
            </w:r>
          </w:p>
        </w:tc>
        <w:tc>
          <w:tcPr>
            <w:tcW w:w="967" w:type="dxa"/>
            <w:tcBorders>
              <w:top w:val="single" w:sz="8" w:space="0" w:color="FFFFFF"/>
              <w:left w:val="single" w:sz="8" w:space="0" w:color="FFFFFF"/>
              <w:bottom w:val="single" w:sz="24" w:space="0" w:color="FFFFFF"/>
              <w:right w:val="single" w:sz="8" w:space="0" w:color="FFFFFF"/>
            </w:tcBorders>
            <w:shd w:val="clear" w:color="auto" w:fill="1CADE4"/>
            <w:tcMar>
              <w:top w:w="57" w:type="dxa"/>
              <w:left w:w="115" w:type="dxa"/>
              <w:bottom w:w="57" w:type="dxa"/>
              <w:right w:w="115" w:type="dxa"/>
            </w:tcMar>
            <w:hideMark/>
          </w:tcPr>
          <w:p w:rsidR="008F035F" w:rsidRPr="008F035F" w:rsidRDefault="008F035F" w:rsidP="008F035F">
            <w:pPr>
              <w:jc w:val="center"/>
              <w:rPr>
                <w:rFonts w:ascii="Arial" w:hAnsi="Arial" w:cs="Arial"/>
                <w:sz w:val="18"/>
              </w:rPr>
            </w:pPr>
            <w:r w:rsidRPr="008F035F">
              <w:rPr>
                <w:rFonts w:ascii="Arial" w:hAnsi="Arial" w:cs="Arial"/>
                <w:b/>
                <w:bCs/>
                <w:sz w:val="18"/>
              </w:rPr>
              <w:t>8</w:t>
            </w:r>
          </w:p>
        </w:tc>
      </w:tr>
      <w:tr w:rsidR="008F035F" w:rsidRPr="008F035F" w:rsidTr="008F035F">
        <w:trPr>
          <w:trHeight w:val="423"/>
        </w:trPr>
        <w:tc>
          <w:tcPr>
            <w:tcW w:w="1658" w:type="dxa"/>
            <w:tcBorders>
              <w:top w:val="single" w:sz="24" w:space="0" w:color="FFFFFF"/>
              <w:left w:val="single" w:sz="8" w:space="0" w:color="FFFFFF"/>
              <w:bottom w:val="single" w:sz="8" w:space="0" w:color="FFFFFF"/>
              <w:right w:val="single" w:sz="8" w:space="0" w:color="FFFFFF"/>
            </w:tcBorders>
            <w:shd w:val="clear" w:color="auto" w:fill="CCE3F5"/>
            <w:tcMar>
              <w:top w:w="57" w:type="dxa"/>
              <w:left w:w="115" w:type="dxa"/>
              <w:bottom w:w="57" w:type="dxa"/>
              <w:right w:w="115" w:type="dxa"/>
            </w:tcMar>
            <w:hideMark/>
          </w:tcPr>
          <w:p w:rsidR="008F035F" w:rsidRPr="008F035F" w:rsidRDefault="008F035F" w:rsidP="008F035F">
            <w:pPr>
              <w:rPr>
                <w:rFonts w:ascii="Arial" w:hAnsi="Arial" w:cs="Arial"/>
                <w:sz w:val="18"/>
              </w:rPr>
            </w:pPr>
            <w:r w:rsidRPr="008F035F">
              <w:rPr>
                <w:rFonts w:ascii="Arial" w:hAnsi="Arial" w:cs="Arial"/>
                <w:sz w:val="18"/>
              </w:rPr>
              <w:t>Area Median Income</w:t>
            </w:r>
          </w:p>
        </w:tc>
        <w:tc>
          <w:tcPr>
            <w:tcW w:w="885" w:type="dxa"/>
            <w:tcBorders>
              <w:top w:val="single" w:sz="24" w:space="0" w:color="FFFFFF"/>
              <w:left w:val="single" w:sz="8" w:space="0" w:color="FFFFFF"/>
              <w:bottom w:val="single" w:sz="8" w:space="0" w:color="FFFFFF"/>
              <w:right w:val="single" w:sz="8" w:space="0" w:color="FFFFFF"/>
            </w:tcBorders>
            <w:shd w:val="clear" w:color="auto" w:fill="CCE3F5"/>
            <w:tcMar>
              <w:top w:w="57" w:type="dxa"/>
              <w:left w:w="115" w:type="dxa"/>
              <w:bottom w:w="57" w:type="dxa"/>
              <w:right w:w="115" w:type="dxa"/>
            </w:tcMar>
            <w:hideMark/>
          </w:tcPr>
          <w:p w:rsidR="008F035F" w:rsidRPr="008F035F" w:rsidRDefault="008F035F" w:rsidP="008F035F">
            <w:pPr>
              <w:rPr>
                <w:rFonts w:ascii="Arial" w:hAnsi="Arial" w:cs="Arial"/>
                <w:sz w:val="18"/>
              </w:rPr>
            </w:pPr>
            <w:r w:rsidRPr="008F035F">
              <w:rPr>
                <w:rFonts w:ascii="Arial" w:hAnsi="Arial" w:cs="Arial"/>
                <w:sz w:val="18"/>
              </w:rPr>
              <w:t>$42,500</w:t>
            </w:r>
          </w:p>
        </w:tc>
        <w:tc>
          <w:tcPr>
            <w:tcW w:w="881" w:type="dxa"/>
            <w:tcBorders>
              <w:top w:val="single" w:sz="24" w:space="0" w:color="FFFFFF"/>
              <w:left w:val="single" w:sz="8" w:space="0" w:color="FFFFFF"/>
              <w:bottom w:val="single" w:sz="8" w:space="0" w:color="FFFFFF"/>
              <w:right w:val="single" w:sz="8" w:space="0" w:color="FFFFFF"/>
            </w:tcBorders>
            <w:shd w:val="clear" w:color="auto" w:fill="CCE3F5"/>
            <w:tcMar>
              <w:top w:w="57" w:type="dxa"/>
              <w:left w:w="115" w:type="dxa"/>
              <w:bottom w:w="57" w:type="dxa"/>
              <w:right w:w="115" w:type="dxa"/>
            </w:tcMar>
            <w:hideMark/>
          </w:tcPr>
          <w:p w:rsidR="008F035F" w:rsidRPr="008F035F" w:rsidRDefault="008F035F" w:rsidP="008F035F">
            <w:pPr>
              <w:rPr>
                <w:rFonts w:ascii="Arial" w:hAnsi="Arial" w:cs="Arial"/>
                <w:sz w:val="18"/>
              </w:rPr>
            </w:pPr>
            <w:r w:rsidRPr="008F035F">
              <w:rPr>
                <w:rFonts w:ascii="Arial" w:hAnsi="Arial" w:cs="Arial"/>
                <w:sz w:val="18"/>
              </w:rPr>
              <w:t>$48,500</w:t>
            </w:r>
          </w:p>
        </w:tc>
        <w:tc>
          <w:tcPr>
            <w:tcW w:w="881" w:type="dxa"/>
            <w:tcBorders>
              <w:top w:val="single" w:sz="24" w:space="0" w:color="FFFFFF"/>
              <w:left w:val="single" w:sz="8" w:space="0" w:color="FFFFFF"/>
              <w:bottom w:val="single" w:sz="8" w:space="0" w:color="FFFFFF"/>
              <w:right w:val="single" w:sz="8" w:space="0" w:color="FFFFFF"/>
            </w:tcBorders>
            <w:shd w:val="clear" w:color="auto" w:fill="CCE3F5"/>
            <w:tcMar>
              <w:top w:w="57" w:type="dxa"/>
              <w:left w:w="115" w:type="dxa"/>
              <w:bottom w:w="57" w:type="dxa"/>
              <w:right w:w="115" w:type="dxa"/>
            </w:tcMar>
            <w:hideMark/>
          </w:tcPr>
          <w:p w:rsidR="008F035F" w:rsidRPr="008F035F" w:rsidRDefault="008F035F" w:rsidP="008F035F">
            <w:pPr>
              <w:rPr>
                <w:rFonts w:ascii="Arial" w:hAnsi="Arial" w:cs="Arial"/>
                <w:sz w:val="18"/>
              </w:rPr>
            </w:pPr>
            <w:r w:rsidRPr="008F035F">
              <w:rPr>
                <w:rFonts w:ascii="Arial" w:hAnsi="Arial" w:cs="Arial"/>
                <w:sz w:val="18"/>
              </w:rPr>
              <w:t>$54,600</w:t>
            </w:r>
          </w:p>
        </w:tc>
        <w:tc>
          <w:tcPr>
            <w:tcW w:w="881" w:type="dxa"/>
            <w:tcBorders>
              <w:top w:val="single" w:sz="24" w:space="0" w:color="FFFFFF"/>
              <w:left w:val="single" w:sz="8" w:space="0" w:color="FFFFFF"/>
              <w:bottom w:val="single" w:sz="8" w:space="0" w:color="FFFFFF"/>
              <w:right w:val="single" w:sz="8" w:space="0" w:color="FFFFFF"/>
            </w:tcBorders>
            <w:shd w:val="clear" w:color="auto" w:fill="CCE3F5"/>
            <w:tcMar>
              <w:top w:w="57" w:type="dxa"/>
              <w:left w:w="115" w:type="dxa"/>
              <w:bottom w:w="57" w:type="dxa"/>
              <w:right w:w="115" w:type="dxa"/>
            </w:tcMar>
            <w:hideMark/>
          </w:tcPr>
          <w:p w:rsidR="008F035F" w:rsidRPr="008F035F" w:rsidRDefault="008F035F" w:rsidP="008F035F">
            <w:pPr>
              <w:rPr>
                <w:rFonts w:ascii="Arial" w:hAnsi="Arial" w:cs="Arial"/>
                <w:sz w:val="18"/>
              </w:rPr>
            </w:pPr>
            <w:r w:rsidRPr="008F035F">
              <w:rPr>
                <w:rFonts w:ascii="Arial" w:hAnsi="Arial" w:cs="Arial"/>
                <w:sz w:val="18"/>
              </w:rPr>
              <w:t>$60,600</w:t>
            </w:r>
          </w:p>
        </w:tc>
        <w:tc>
          <w:tcPr>
            <w:tcW w:w="895" w:type="dxa"/>
            <w:tcBorders>
              <w:top w:val="single" w:sz="24" w:space="0" w:color="FFFFFF"/>
              <w:left w:val="single" w:sz="8" w:space="0" w:color="FFFFFF"/>
              <w:bottom w:val="single" w:sz="8" w:space="0" w:color="FFFFFF"/>
              <w:right w:val="single" w:sz="8" w:space="0" w:color="FFFFFF"/>
            </w:tcBorders>
            <w:shd w:val="clear" w:color="auto" w:fill="CCE3F5"/>
            <w:tcMar>
              <w:top w:w="57" w:type="dxa"/>
              <w:left w:w="115" w:type="dxa"/>
              <w:bottom w:w="57" w:type="dxa"/>
              <w:right w:w="115" w:type="dxa"/>
            </w:tcMar>
            <w:hideMark/>
          </w:tcPr>
          <w:p w:rsidR="008F035F" w:rsidRPr="008F035F" w:rsidRDefault="008F035F" w:rsidP="008F035F">
            <w:pPr>
              <w:rPr>
                <w:rFonts w:ascii="Arial" w:hAnsi="Arial" w:cs="Arial"/>
                <w:sz w:val="18"/>
              </w:rPr>
            </w:pPr>
            <w:r w:rsidRPr="008F035F">
              <w:rPr>
                <w:rFonts w:ascii="Arial" w:hAnsi="Arial" w:cs="Arial"/>
                <w:sz w:val="18"/>
              </w:rPr>
              <w:t>$65,500</w:t>
            </w:r>
          </w:p>
        </w:tc>
        <w:tc>
          <w:tcPr>
            <w:tcW w:w="881" w:type="dxa"/>
            <w:tcBorders>
              <w:top w:val="single" w:sz="24" w:space="0" w:color="FFFFFF"/>
              <w:left w:val="single" w:sz="8" w:space="0" w:color="FFFFFF"/>
              <w:bottom w:val="single" w:sz="8" w:space="0" w:color="FFFFFF"/>
              <w:right w:val="single" w:sz="8" w:space="0" w:color="FFFFFF"/>
            </w:tcBorders>
            <w:shd w:val="clear" w:color="auto" w:fill="CCE3F5"/>
            <w:tcMar>
              <w:top w:w="57" w:type="dxa"/>
              <w:left w:w="115" w:type="dxa"/>
              <w:bottom w:w="57" w:type="dxa"/>
              <w:right w:w="115" w:type="dxa"/>
            </w:tcMar>
            <w:hideMark/>
          </w:tcPr>
          <w:p w:rsidR="008F035F" w:rsidRPr="008F035F" w:rsidRDefault="008F035F" w:rsidP="008F035F">
            <w:pPr>
              <w:rPr>
                <w:rFonts w:ascii="Arial" w:hAnsi="Arial" w:cs="Arial"/>
                <w:sz w:val="18"/>
              </w:rPr>
            </w:pPr>
            <w:r w:rsidRPr="008F035F">
              <w:rPr>
                <w:rFonts w:ascii="Arial" w:hAnsi="Arial" w:cs="Arial"/>
                <w:sz w:val="18"/>
              </w:rPr>
              <w:t>$70,300</w:t>
            </w:r>
          </w:p>
        </w:tc>
        <w:tc>
          <w:tcPr>
            <w:tcW w:w="881" w:type="dxa"/>
            <w:tcBorders>
              <w:top w:val="single" w:sz="24" w:space="0" w:color="FFFFFF"/>
              <w:left w:val="single" w:sz="8" w:space="0" w:color="FFFFFF"/>
              <w:bottom w:val="single" w:sz="8" w:space="0" w:color="FFFFFF"/>
              <w:right w:val="single" w:sz="8" w:space="0" w:color="FFFFFF"/>
            </w:tcBorders>
            <w:shd w:val="clear" w:color="auto" w:fill="CCE3F5"/>
            <w:tcMar>
              <w:top w:w="57" w:type="dxa"/>
              <w:left w:w="115" w:type="dxa"/>
              <w:bottom w:w="57" w:type="dxa"/>
              <w:right w:w="115" w:type="dxa"/>
            </w:tcMar>
            <w:hideMark/>
          </w:tcPr>
          <w:p w:rsidR="008F035F" w:rsidRPr="008F035F" w:rsidRDefault="008F035F" w:rsidP="008F035F">
            <w:pPr>
              <w:rPr>
                <w:rFonts w:ascii="Arial" w:hAnsi="Arial" w:cs="Arial"/>
                <w:sz w:val="18"/>
              </w:rPr>
            </w:pPr>
            <w:r w:rsidRPr="008F035F">
              <w:rPr>
                <w:rFonts w:ascii="Arial" w:hAnsi="Arial" w:cs="Arial"/>
                <w:sz w:val="18"/>
              </w:rPr>
              <w:t>$75,200</w:t>
            </w:r>
          </w:p>
        </w:tc>
        <w:tc>
          <w:tcPr>
            <w:tcW w:w="967" w:type="dxa"/>
            <w:tcBorders>
              <w:top w:val="single" w:sz="24" w:space="0" w:color="FFFFFF"/>
              <w:left w:val="single" w:sz="8" w:space="0" w:color="FFFFFF"/>
              <w:bottom w:val="single" w:sz="8" w:space="0" w:color="FFFFFF"/>
              <w:right w:val="single" w:sz="8" w:space="0" w:color="FFFFFF"/>
            </w:tcBorders>
            <w:shd w:val="clear" w:color="auto" w:fill="CCE3F5"/>
            <w:tcMar>
              <w:top w:w="57" w:type="dxa"/>
              <w:left w:w="115" w:type="dxa"/>
              <w:bottom w:w="57" w:type="dxa"/>
              <w:right w:w="115" w:type="dxa"/>
            </w:tcMar>
            <w:hideMark/>
          </w:tcPr>
          <w:p w:rsidR="008F035F" w:rsidRPr="008F035F" w:rsidRDefault="008F035F" w:rsidP="008F035F">
            <w:pPr>
              <w:rPr>
                <w:rFonts w:ascii="Arial" w:hAnsi="Arial" w:cs="Arial"/>
                <w:sz w:val="18"/>
              </w:rPr>
            </w:pPr>
            <w:r w:rsidRPr="008F035F">
              <w:rPr>
                <w:rFonts w:ascii="Arial" w:hAnsi="Arial" w:cs="Arial"/>
                <w:sz w:val="18"/>
              </w:rPr>
              <w:t>$80,000</w:t>
            </w:r>
          </w:p>
        </w:tc>
      </w:tr>
      <w:tr w:rsidR="008F035F" w:rsidRPr="008F035F" w:rsidTr="008F035F">
        <w:trPr>
          <w:trHeight w:val="229"/>
        </w:trPr>
        <w:tc>
          <w:tcPr>
            <w:tcW w:w="1658" w:type="dxa"/>
            <w:tcBorders>
              <w:top w:val="single" w:sz="8" w:space="0" w:color="FFFFFF"/>
              <w:left w:val="single" w:sz="8" w:space="0" w:color="FFFFFF"/>
              <w:bottom w:val="single" w:sz="8" w:space="0" w:color="FFFFFF"/>
              <w:right w:val="single" w:sz="8" w:space="0" w:color="FFFFFF"/>
            </w:tcBorders>
            <w:shd w:val="clear" w:color="auto" w:fill="E7F1FA"/>
            <w:tcMar>
              <w:top w:w="57" w:type="dxa"/>
              <w:left w:w="115" w:type="dxa"/>
              <w:bottom w:w="57" w:type="dxa"/>
              <w:right w:w="115" w:type="dxa"/>
            </w:tcMar>
            <w:hideMark/>
          </w:tcPr>
          <w:p w:rsidR="008F035F" w:rsidRPr="008F035F" w:rsidRDefault="008F035F" w:rsidP="008F035F">
            <w:pPr>
              <w:rPr>
                <w:rFonts w:ascii="Arial" w:hAnsi="Arial" w:cs="Arial"/>
                <w:sz w:val="18"/>
              </w:rPr>
            </w:pPr>
            <w:r w:rsidRPr="008F035F">
              <w:rPr>
                <w:rFonts w:ascii="Arial" w:hAnsi="Arial" w:cs="Arial"/>
                <w:sz w:val="18"/>
              </w:rPr>
              <w:t>120% AMI</w:t>
            </w:r>
          </w:p>
        </w:tc>
        <w:tc>
          <w:tcPr>
            <w:tcW w:w="885" w:type="dxa"/>
            <w:tcBorders>
              <w:top w:val="single" w:sz="8" w:space="0" w:color="FFFFFF"/>
              <w:left w:val="single" w:sz="8" w:space="0" w:color="FFFFFF"/>
              <w:bottom w:val="single" w:sz="8" w:space="0" w:color="FFFFFF"/>
              <w:right w:val="single" w:sz="8" w:space="0" w:color="FFFFFF"/>
            </w:tcBorders>
            <w:shd w:val="clear" w:color="auto" w:fill="E7F1FA"/>
            <w:tcMar>
              <w:top w:w="57" w:type="dxa"/>
              <w:left w:w="115" w:type="dxa"/>
              <w:bottom w:w="57" w:type="dxa"/>
              <w:right w:w="115" w:type="dxa"/>
            </w:tcMar>
            <w:vAlign w:val="center"/>
            <w:hideMark/>
          </w:tcPr>
          <w:p w:rsidR="008F035F" w:rsidRPr="008F035F" w:rsidRDefault="008F035F" w:rsidP="008F035F">
            <w:pPr>
              <w:rPr>
                <w:rFonts w:ascii="Arial" w:hAnsi="Arial" w:cs="Arial"/>
                <w:sz w:val="18"/>
              </w:rPr>
            </w:pPr>
            <w:r w:rsidRPr="008F035F">
              <w:rPr>
                <w:rFonts w:ascii="Arial" w:hAnsi="Arial" w:cs="Arial"/>
                <w:sz w:val="18"/>
              </w:rPr>
              <w:t>$51,000</w:t>
            </w:r>
          </w:p>
        </w:tc>
        <w:tc>
          <w:tcPr>
            <w:tcW w:w="881" w:type="dxa"/>
            <w:tcBorders>
              <w:top w:val="single" w:sz="8" w:space="0" w:color="FFFFFF"/>
              <w:left w:val="single" w:sz="8" w:space="0" w:color="FFFFFF"/>
              <w:bottom w:val="single" w:sz="8" w:space="0" w:color="FFFFFF"/>
              <w:right w:val="single" w:sz="8" w:space="0" w:color="FFFFFF"/>
            </w:tcBorders>
            <w:shd w:val="clear" w:color="auto" w:fill="E7F1FA"/>
            <w:tcMar>
              <w:top w:w="57" w:type="dxa"/>
              <w:left w:w="115" w:type="dxa"/>
              <w:bottom w:w="57" w:type="dxa"/>
              <w:right w:w="115" w:type="dxa"/>
            </w:tcMar>
            <w:vAlign w:val="center"/>
            <w:hideMark/>
          </w:tcPr>
          <w:p w:rsidR="008F035F" w:rsidRPr="008F035F" w:rsidRDefault="008F035F" w:rsidP="008F035F">
            <w:pPr>
              <w:rPr>
                <w:rFonts w:ascii="Arial" w:hAnsi="Arial" w:cs="Arial"/>
                <w:sz w:val="18"/>
              </w:rPr>
            </w:pPr>
            <w:r w:rsidRPr="008F035F">
              <w:rPr>
                <w:rFonts w:ascii="Arial" w:hAnsi="Arial" w:cs="Arial"/>
                <w:sz w:val="18"/>
              </w:rPr>
              <w:t>$58,200</w:t>
            </w:r>
          </w:p>
        </w:tc>
        <w:tc>
          <w:tcPr>
            <w:tcW w:w="881" w:type="dxa"/>
            <w:tcBorders>
              <w:top w:val="single" w:sz="8" w:space="0" w:color="FFFFFF"/>
              <w:left w:val="single" w:sz="8" w:space="0" w:color="FFFFFF"/>
              <w:bottom w:val="single" w:sz="8" w:space="0" w:color="FFFFFF"/>
              <w:right w:val="single" w:sz="8" w:space="0" w:color="FFFFFF"/>
            </w:tcBorders>
            <w:shd w:val="clear" w:color="auto" w:fill="E7F1FA"/>
            <w:tcMar>
              <w:top w:w="57" w:type="dxa"/>
              <w:left w:w="115" w:type="dxa"/>
              <w:bottom w:w="57" w:type="dxa"/>
              <w:right w:w="115" w:type="dxa"/>
            </w:tcMar>
            <w:vAlign w:val="center"/>
            <w:hideMark/>
          </w:tcPr>
          <w:p w:rsidR="008F035F" w:rsidRPr="008F035F" w:rsidRDefault="008F035F" w:rsidP="008F035F">
            <w:pPr>
              <w:rPr>
                <w:rFonts w:ascii="Arial" w:hAnsi="Arial" w:cs="Arial"/>
                <w:sz w:val="18"/>
              </w:rPr>
            </w:pPr>
            <w:r w:rsidRPr="008F035F">
              <w:rPr>
                <w:rFonts w:ascii="Arial" w:hAnsi="Arial" w:cs="Arial"/>
                <w:sz w:val="18"/>
              </w:rPr>
              <w:t>$65,520</w:t>
            </w:r>
          </w:p>
        </w:tc>
        <w:tc>
          <w:tcPr>
            <w:tcW w:w="881" w:type="dxa"/>
            <w:tcBorders>
              <w:top w:val="single" w:sz="8" w:space="0" w:color="FFFFFF"/>
              <w:left w:val="single" w:sz="8" w:space="0" w:color="FFFFFF"/>
              <w:bottom w:val="single" w:sz="8" w:space="0" w:color="FFFFFF"/>
              <w:right w:val="single" w:sz="8" w:space="0" w:color="FFFFFF"/>
            </w:tcBorders>
            <w:shd w:val="clear" w:color="auto" w:fill="E7F1FA"/>
            <w:tcMar>
              <w:top w:w="57" w:type="dxa"/>
              <w:left w:w="115" w:type="dxa"/>
              <w:bottom w:w="57" w:type="dxa"/>
              <w:right w:w="115" w:type="dxa"/>
            </w:tcMar>
            <w:vAlign w:val="center"/>
            <w:hideMark/>
          </w:tcPr>
          <w:p w:rsidR="008F035F" w:rsidRPr="008F035F" w:rsidRDefault="008F035F" w:rsidP="008F035F">
            <w:pPr>
              <w:rPr>
                <w:rFonts w:ascii="Arial" w:hAnsi="Arial" w:cs="Arial"/>
                <w:sz w:val="18"/>
              </w:rPr>
            </w:pPr>
            <w:r w:rsidRPr="008F035F">
              <w:rPr>
                <w:rFonts w:ascii="Arial" w:hAnsi="Arial" w:cs="Arial"/>
                <w:sz w:val="18"/>
              </w:rPr>
              <w:t>$72,720</w:t>
            </w:r>
          </w:p>
        </w:tc>
        <w:tc>
          <w:tcPr>
            <w:tcW w:w="895" w:type="dxa"/>
            <w:tcBorders>
              <w:top w:val="single" w:sz="8" w:space="0" w:color="FFFFFF"/>
              <w:left w:val="single" w:sz="8" w:space="0" w:color="FFFFFF"/>
              <w:bottom w:val="single" w:sz="8" w:space="0" w:color="FFFFFF"/>
              <w:right w:val="single" w:sz="8" w:space="0" w:color="FFFFFF"/>
            </w:tcBorders>
            <w:shd w:val="clear" w:color="auto" w:fill="E7F1FA"/>
            <w:tcMar>
              <w:top w:w="57" w:type="dxa"/>
              <w:left w:w="115" w:type="dxa"/>
              <w:bottom w:w="57" w:type="dxa"/>
              <w:right w:w="115" w:type="dxa"/>
            </w:tcMar>
            <w:vAlign w:val="center"/>
            <w:hideMark/>
          </w:tcPr>
          <w:p w:rsidR="008F035F" w:rsidRPr="008F035F" w:rsidRDefault="008F035F" w:rsidP="008F035F">
            <w:pPr>
              <w:rPr>
                <w:rFonts w:ascii="Arial" w:hAnsi="Arial" w:cs="Arial"/>
                <w:sz w:val="18"/>
              </w:rPr>
            </w:pPr>
            <w:r w:rsidRPr="008F035F">
              <w:rPr>
                <w:rFonts w:ascii="Arial" w:hAnsi="Arial" w:cs="Arial"/>
                <w:sz w:val="18"/>
              </w:rPr>
              <w:t>$78,600</w:t>
            </w:r>
          </w:p>
        </w:tc>
        <w:tc>
          <w:tcPr>
            <w:tcW w:w="881" w:type="dxa"/>
            <w:tcBorders>
              <w:top w:val="single" w:sz="8" w:space="0" w:color="FFFFFF"/>
              <w:left w:val="single" w:sz="8" w:space="0" w:color="FFFFFF"/>
              <w:bottom w:val="single" w:sz="8" w:space="0" w:color="FFFFFF"/>
              <w:right w:val="single" w:sz="8" w:space="0" w:color="FFFFFF"/>
            </w:tcBorders>
            <w:shd w:val="clear" w:color="auto" w:fill="E7F1FA"/>
            <w:tcMar>
              <w:top w:w="57" w:type="dxa"/>
              <w:left w:w="115" w:type="dxa"/>
              <w:bottom w:w="57" w:type="dxa"/>
              <w:right w:w="115" w:type="dxa"/>
            </w:tcMar>
            <w:vAlign w:val="center"/>
            <w:hideMark/>
          </w:tcPr>
          <w:p w:rsidR="008F035F" w:rsidRPr="008F035F" w:rsidRDefault="008F035F" w:rsidP="008F035F">
            <w:pPr>
              <w:rPr>
                <w:rFonts w:ascii="Arial" w:hAnsi="Arial" w:cs="Arial"/>
                <w:sz w:val="18"/>
              </w:rPr>
            </w:pPr>
            <w:r w:rsidRPr="008F035F">
              <w:rPr>
                <w:rFonts w:ascii="Arial" w:hAnsi="Arial" w:cs="Arial"/>
                <w:sz w:val="18"/>
              </w:rPr>
              <w:t>$84,360</w:t>
            </w:r>
          </w:p>
        </w:tc>
        <w:tc>
          <w:tcPr>
            <w:tcW w:w="881" w:type="dxa"/>
            <w:tcBorders>
              <w:top w:val="single" w:sz="8" w:space="0" w:color="FFFFFF"/>
              <w:left w:val="single" w:sz="8" w:space="0" w:color="FFFFFF"/>
              <w:bottom w:val="single" w:sz="8" w:space="0" w:color="FFFFFF"/>
              <w:right w:val="single" w:sz="8" w:space="0" w:color="FFFFFF"/>
            </w:tcBorders>
            <w:shd w:val="clear" w:color="auto" w:fill="E7F1FA"/>
            <w:tcMar>
              <w:top w:w="57" w:type="dxa"/>
              <w:left w:w="115" w:type="dxa"/>
              <w:bottom w:w="57" w:type="dxa"/>
              <w:right w:w="115" w:type="dxa"/>
            </w:tcMar>
            <w:vAlign w:val="center"/>
            <w:hideMark/>
          </w:tcPr>
          <w:p w:rsidR="008F035F" w:rsidRPr="008F035F" w:rsidRDefault="008F035F" w:rsidP="008F035F">
            <w:pPr>
              <w:rPr>
                <w:rFonts w:ascii="Arial" w:hAnsi="Arial" w:cs="Arial"/>
                <w:sz w:val="18"/>
              </w:rPr>
            </w:pPr>
            <w:r w:rsidRPr="008F035F">
              <w:rPr>
                <w:rFonts w:ascii="Arial" w:hAnsi="Arial" w:cs="Arial"/>
                <w:sz w:val="18"/>
              </w:rPr>
              <w:t>$90,240</w:t>
            </w:r>
          </w:p>
        </w:tc>
        <w:tc>
          <w:tcPr>
            <w:tcW w:w="967" w:type="dxa"/>
            <w:tcBorders>
              <w:top w:val="single" w:sz="8" w:space="0" w:color="FFFFFF"/>
              <w:left w:val="single" w:sz="8" w:space="0" w:color="FFFFFF"/>
              <w:bottom w:val="single" w:sz="8" w:space="0" w:color="FFFFFF"/>
              <w:right w:val="single" w:sz="8" w:space="0" w:color="FFFFFF"/>
            </w:tcBorders>
            <w:shd w:val="clear" w:color="auto" w:fill="E7F1FA"/>
            <w:tcMar>
              <w:top w:w="57" w:type="dxa"/>
              <w:left w:w="115" w:type="dxa"/>
              <w:bottom w:w="57" w:type="dxa"/>
              <w:right w:w="115" w:type="dxa"/>
            </w:tcMar>
            <w:vAlign w:val="center"/>
            <w:hideMark/>
          </w:tcPr>
          <w:p w:rsidR="008F035F" w:rsidRPr="008F035F" w:rsidRDefault="008F035F" w:rsidP="008F035F">
            <w:pPr>
              <w:rPr>
                <w:rFonts w:ascii="Arial" w:hAnsi="Arial" w:cs="Arial"/>
                <w:sz w:val="18"/>
              </w:rPr>
            </w:pPr>
            <w:r w:rsidRPr="008F035F">
              <w:rPr>
                <w:rFonts w:ascii="Arial" w:hAnsi="Arial" w:cs="Arial"/>
                <w:sz w:val="18"/>
              </w:rPr>
              <w:t>$96,000</w:t>
            </w:r>
          </w:p>
        </w:tc>
      </w:tr>
    </w:tbl>
    <w:p w:rsidR="008F035F" w:rsidRDefault="008F035F" w:rsidP="00EA2FA0">
      <w:pPr>
        <w:numPr>
          <w:ilvl w:val="0"/>
          <w:numId w:val="2"/>
        </w:numPr>
        <w:rPr>
          <w:rFonts w:ascii="Arial" w:hAnsi="Arial" w:cs="Arial"/>
          <w:sz w:val="24"/>
          <w:szCs w:val="24"/>
        </w:rPr>
      </w:pPr>
      <w:r>
        <w:rPr>
          <w:rFonts w:ascii="Arial" w:hAnsi="Arial" w:cs="Arial"/>
          <w:sz w:val="24"/>
          <w:szCs w:val="24"/>
        </w:rPr>
        <w:t>Income must include all adult (over 18) members of the household.</w:t>
      </w:r>
    </w:p>
    <w:p w:rsidR="00000000" w:rsidRPr="00EA2FA0" w:rsidRDefault="00E503ED" w:rsidP="00EA2FA0">
      <w:pPr>
        <w:numPr>
          <w:ilvl w:val="0"/>
          <w:numId w:val="2"/>
        </w:numPr>
        <w:rPr>
          <w:rFonts w:ascii="Arial" w:hAnsi="Arial" w:cs="Arial"/>
          <w:sz w:val="24"/>
          <w:szCs w:val="24"/>
        </w:rPr>
      </w:pPr>
      <w:r w:rsidRPr="00EA2FA0">
        <w:rPr>
          <w:rFonts w:ascii="Arial" w:hAnsi="Arial" w:cs="Arial"/>
          <w:sz w:val="24"/>
          <w:szCs w:val="24"/>
        </w:rPr>
        <w:t xml:space="preserve">2. Monthly housing costs cannot exceed 30% of the buyer’s gross monthly income. </w:t>
      </w:r>
    </w:p>
    <w:p w:rsidR="00000000" w:rsidRPr="00EA2FA0" w:rsidRDefault="00E503ED" w:rsidP="00EA2FA0">
      <w:pPr>
        <w:numPr>
          <w:ilvl w:val="0"/>
          <w:numId w:val="2"/>
        </w:numPr>
        <w:rPr>
          <w:rFonts w:ascii="Arial" w:hAnsi="Arial" w:cs="Arial"/>
          <w:sz w:val="24"/>
          <w:szCs w:val="24"/>
        </w:rPr>
      </w:pPr>
      <w:r w:rsidRPr="00EA2FA0">
        <w:rPr>
          <w:rFonts w:ascii="Arial" w:hAnsi="Arial" w:cs="Arial"/>
          <w:sz w:val="24"/>
          <w:szCs w:val="24"/>
        </w:rPr>
        <w:t xml:space="preserve">3. Have a minimum credit score of 600. </w:t>
      </w:r>
    </w:p>
    <w:p w:rsidR="008F035F" w:rsidRPr="008F035F" w:rsidRDefault="00E503ED" w:rsidP="008F035F">
      <w:pPr>
        <w:numPr>
          <w:ilvl w:val="0"/>
          <w:numId w:val="2"/>
        </w:numPr>
        <w:rPr>
          <w:rFonts w:ascii="Arial" w:hAnsi="Arial" w:cs="Arial"/>
          <w:sz w:val="24"/>
          <w:szCs w:val="24"/>
        </w:rPr>
      </w:pPr>
      <w:r w:rsidRPr="00EA2FA0">
        <w:rPr>
          <w:rFonts w:ascii="Arial" w:hAnsi="Arial" w:cs="Arial"/>
          <w:sz w:val="24"/>
          <w:szCs w:val="24"/>
        </w:rPr>
        <w:t xml:space="preserve">4. Be able to qualify for a 30-year mortgage through preferred lender or other. </w:t>
      </w:r>
    </w:p>
    <w:p w:rsidR="00C4530C" w:rsidRDefault="00C4530C" w:rsidP="004C11A8">
      <w:pPr>
        <w:rPr>
          <w:rFonts w:ascii="Arial" w:hAnsi="Arial" w:cs="Arial"/>
          <w:sz w:val="24"/>
          <w:szCs w:val="24"/>
        </w:rPr>
      </w:pPr>
      <w:r>
        <w:rPr>
          <w:rFonts w:ascii="Arial" w:hAnsi="Arial" w:cs="Arial"/>
          <w:sz w:val="24"/>
          <w:szCs w:val="24"/>
        </w:rPr>
        <w:t xml:space="preserve">Q:  Where can I check my credit score to see </w:t>
      </w:r>
      <w:r w:rsidR="008825D5">
        <w:rPr>
          <w:rFonts w:ascii="Arial" w:hAnsi="Arial" w:cs="Arial"/>
          <w:sz w:val="24"/>
          <w:szCs w:val="24"/>
        </w:rPr>
        <w:t>if I qualify?</w:t>
      </w:r>
    </w:p>
    <w:p w:rsidR="008825D5" w:rsidRPr="008844DC" w:rsidRDefault="008825D5" w:rsidP="008825D5">
      <w:pPr>
        <w:rPr>
          <w:rFonts w:ascii="Arial" w:hAnsi="Arial" w:cs="Arial"/>
          <w:sz w:val="24"/>
          <w:szCs w:val="24"/>
        </w:rPr>
      </w:pPr>
      <w:r>
        <w:rPr>
          <w:rFonts w:ascii="Arial" w:hAnsi="Arial" w:cs="Arial"/>
          <w:sz w:val="24"/>
          <w:szCs w:val="24"/>
        </w:rPr>
        <w:t xml:space="preserve">A:  Free credit reports are available online. Try this link to check on the </w:t>
      </w:r>
      <w:proofErr w:type="gramStart"/>
      <w:r>
        <w:rPr>
          <w:rFonts w:ascii="Arial" w:hAnsi="Arial" w:cs="Arial"/>
          <w:sz w:val="24"/>
          <w:szCs w:val="24"/>
        </w:rPr>
        <w:t>current status</w:t>
      </w:r>
      <w:proofErr w:type="gramEnd"/>
      <w:r>
        <w:rPr>
          <w:rFonts w:ascii="Arial" w:hAnsi="Arial" w:cs="Arial"/>
          <w:sz w:val="24"/>
          <w:szCs w:val="24"/>
        </w:rPr>
        <w:t xml:space="preserve">. </w:t>
      </w:r>
      <w:hyperlink r:id="rId5" w:history="1">
        <w:r w:rsidRPr="008844DC">
          <w:rPr>
            <w:rStyle w:val="Hyperlink"/>
            <w:rFonts w:ascii="Arial" w:hAnsi="Arial" w:cs="Arial"/>
            <w:sz w:val="24"/>
            <w:szCs w:val="24"/>
          </w:rPr>
          <w:t>https://www.annualcreditreport.com/index.action</w:t>
        </w:r>
      </w:hyperlink>
    </w:p>
    <w:p w:rsidR="004C11A8" w:rsidRPr="008844DC" w:rsidRDefault="004C11A8" w:rsidP="004C11A8">
      <w:pPr>
        <w:rPr>
          <w:rFonts w:ascii="Arial" w:hAnsi="Arial" w:cs="Arial"/>
          <w:sz w:val="24"/>
          <w:szCs w:val="24"/>
        </w:rPr>
      </w:pPr>
      <w:r w:rsidRPr="008844DC">
        <w:rPr>
          <w:rFonts w:ascii="Arial" w:hAnsi="Arial" w:cs="Arial"/>
          <w:sz w:val="24"/>
          <w:szCs w:val="24"/>
        </w:rPr>
        <w:t>Q: My credit score is below the program minimum, what can I do?</w:t>
      </w:r>
    </w:p>
    <w:p w:rsidR="004C11A8" w:rsidRPr="008844DC" w:rsidRDefault="004C11A8" w:rsidP="00C4530C">
      <w:pPr>
        <w:rPr>
          <w:rFonts w:ascii="Arial" w:hAnsi="Arial" w:cs="Arial"/>
          <w:sz w:val="24"/>
          <w:szCs w:val="24"/>
        </w:rPr>
      </w:pPr>
      <w:r w:rsidRPr="008844DC">
        <w:rPr>
          <w:rFonts w:ascii="Arial" w:hAnsi="Arial" w:cs="Arial"/>
          <w:sz w:val="24"/>
          <w:szCs w:val="24"/>
        </w:rPr>
        <w:t>A:  If you</w:t>
      </w:r>
      <w:r w:rsidR="00C4530C">
        <w:rPr>
          <w:rFonts w:ascii="Arial" w:hAnsi="Arial" w:cs="Arial"/>
          <w:sz w:val="24"/>
          <w:szCs w:val="24"/>
        </w:rPr>
        <w:t>r</w:t>
      </w:r>
      <w:r w:rsidRPr="008844DC">
        <w:rPr>
          <w:rFonts w:ascii="Arial" w:hAnsi="Arial" w:cs="Arial"/>
          <w:sz w:val="24"/>
          <w:szCs w:val="24"/>
        </w:rPr>
        <w:t xml:space="preserve"> credit score falls below the minimum program requirements you are not currently eligible for the </w:t>
      </w:r>
      <w:r w:rsidR="006517E1">
        <w:rPr>
          <w:rFonts w:ascii="Arial" w:hAnsi="Arial" w:cs="Arial"/>
          <w:sz w:val="24"/>
          <w:szCs w:val="24"/>
        </w:rPr>
        <w:t>VME Homeownership</w:t>
      </w:r>
      <w:r w:rsidR="006517E1" w:rsidRPr="008844DC">
        <w:rPr>
          <w:rFonts w:ascii="Arial" w:hAnsi="Arial" w:cs="Arial"/>
          <w:sz w:val="24"/>
          <w:szCs w:val="24"/>
        </w:rPr>
        <w:t xml:space="preserve"> </w:t>
      </w:r>
      <w:r w:rsidRPr="008844DC">
        <w:rPr>
          <w:rFonts w:ascii="Arial" w:hAnsi="Arial" w:cs="Arial"/>
          <w:sz w:val="24"/>
          <w:szCs w:val="24"/>
        </w:rPr>
        <w:t>program. Many pre</w:t>
      </w:r>
      <w:r w:rsidR="006517E1">
        <w:rPr>
          <w:rFonts w:ascii="Arial" w:hAnsi="Arial" w:cs="Arial"/>
          <w:sz w:val="24"/>
          <w:szCs w:val="24"/>
        </w:rPr>
        <w:t>-</w:t>
      </w:r>
      <w:r w:rsidRPr="008844DC">
        <w:rPr>
          <w:rFonts w:ascii="Arial" w:hAnsi="Arial" w:cs="Arial"/>
          <w:sz w:val="24"/>
          <w:szCs w:val="24"/>
        </w:rPr>
        <w:t>purchase homebuyer counseling agencie</w:t>
      </w:r>
      <w:r w:rsidR="00C4530C">
        <w:rPr>
          <w:rFonts w:ascii="Arial" w:hAnsi="Arial" w:cs="Arial"/>
          <w:sz w:val="24"/>
          <w:szCs w:val="24"/>
        </w:rPr>
        <w:t>s provide credit repair service.</w:t>
      </w:r>
      <w:r w:rsidRPr="008844DC">
        <w:rPr>
          <w:rFonts w:ascii="Arial" w:hAnsi="Arial" w:cs="Arial"/>
          <w:sz w:val="24"/>
          <w:szCs w:val="24"/>
        </w:rPr>
        <w:t xml:space="preserve"> </w:t>
      </w:r>
      <w:r w:rsidR="00C4530C">
        <w:rPr>
          <w:rFonts w:ascii="Arial" w:hAnsi="Arial" w:cs="Arial"/>
          <w:sz w:val="24"/>
          <w:szCs w:val="24"/>
        </w:rPr>
        <w:t>Y</w:t>
      </w:r>
      <w:r w:rsidRPr="008844DC">
        <w:rPr>
          <w:rFonts w:ascii="Arial" w:hAnsi="Arial" w:cs="Arial"/>
          <w:sz w:val="24"/>
          <w:szCs w:val="24"/>
        </w:rPr>
        <w:t>ou might want to reach out to them if you cannot currently qualify for the new underlying first mortgage.</w:t>
      </w:r>
      <w:r w:rsidR="00C4530C">
        <w:rPr>
          <w:rFonts w:ascii="Arial" w:hAnsi="Arial" w:cs="Arial"/>
          <w:sz w:val="24"/>
          <w:szCs w:val="24"/>
        </w:rPr>
        <w:t xml:space="preserve">  Another good resource on h</w:t>
      </w:r>
      <w:r w:rsidR="00C4530C" w:rsidRPr="008844DC">
        <w:rPr>
          <w:rFonts w:ascii="Arial" w:hAnsi="Arial" w:cs="Arial"/>
          <w:sz w:val="24"/>
          <w:szCs w:val="24"/>
        </w:rPr>
        <w:t>ow to improve your credit score</w:t>
      </w:r>
      <w:r w:rsidR="00C4530C">
        <w:rPr>
          <w:rFonts w:ascii="Arial" w:hAnsi="Arial" w:cs="Arial"/>
          <w:sz w:val="24"/>
          <w:szCs w:val="24"/>
        </w:rPr>
        <w:t xml:space="preserve"> is located here </w:t>
      </w:r>
      <w:hyperlink r:id="rId6" w:history="1">
        <w:r w:rsidR="00C4530C" w:rsidRPr="008844DC">
          <w:rPr>
            <w:rStyle w:val="Hyperlink"/>
            <w:rFonts w:ascii="Arial" w:hAnsi="Arial" w:cs="Arial"/>
            <w:sz w:val="24"/>
            <w:szCs w:val="24"/>
          </w:rPr>
          <w:t>http://www.freddiemac.com/creditsmart/</w:t>
        </w:r>
      </w:hyperlink>
    </w:p>
    <w:p w:rsidR="00681AD9" w:rsidRPr="00C4530C" w:rsidRDefault="00681AD9" w:rsidP="00681AD9">
      <w:pPr>
        <w:rPr>
          <w:rFonts w:ascii="Arial" w:hAnsi="Arial" w:cs="Arial"/>
          <w:sz w:val="24"/>
          <w:szCs w:val="24"/>
        </w:rPr>
      </w:pPr>
      <w:r w:rsidRPr="00C4530C">
        <w:rPr>
          <w:rFonts w:ascii="Arial" w:hAnsi="Arial" w:cs="Arial"/>
          <w:sz w:val="24"/>
          <w:szCs w:val="24"/>
        </w:rPr>
        <w:t xml:space="preserve">Q: How </w:t>
      </w:r>
      <w:r>
        <w:rPr>
          <w:rFonts w:ascii="Arial" w:hAnsi="Arial" w:cs="Arial"/>
          <w:sz w:val="24"/>
          <w:szCs w:val="24"/>
        </w:rPr>
        <w:t>much do these houses cost?</w:t>
      </w:r>
    </w:p>
    <w:p w:rsidR="00681AD9" w:rsidRDefault="00681AD9" w:rsidP="00681AD9">
      <w:pPr>
        <w:rPr>
          <w:rFonts w:ascii="Arial" w:hAnsi="Arial" w:cs="Arial"/>
          <w:sz w:val="24"/>
          <w:szCs w:val="24"/>
        </w:rPr>
      </w:pPr>
      <w:r w:rsidRPr="008844DC">
        <w:rPr>
          <w:rFonts w:ascii="Arial" w:hAnsi="Arial" w:cs="Arial"/>
          <w:sz w:val="24"/>
          <w:szCs w:val="24"/>
        </w:rPr>
        <w:lastRenderedPageBreak/>
        <w:t xml:space="preserve">A:  </w:t>
      </w:r>
      <w:r>
        <w:rPr>
          <w:rFonts w:ascii="Arial" w:hAnsi="Arial" w:cs="Arial"/>
          <w:sz w:val="24"/>
          <w:szCs w:val="24"/>
        </w:rPr>
        <w:t>All homes in the SALT VME homeownership Program</w:t>
      </w:r>
      <w:r w:rsidR="004202AA">
        <w:rPr>
          <w:rFonts w:ascii="Arial" w:hAnsi="Arial" w:cs="Arial"/>
          <w:sz w:val="24"/>
          <w:szCs w:val="24"/>
        </w:rPr>
        <w:t xml:space="preserve"> are sold at cost.  The costs of building these homes will vary slightly due to changes in the market for materials, labor, and other items that are sensitive to how much time it takes SALT to build out the community.  SALT will update home prices quarterly.</w:t>
      </w:r>
    </w:p>
    <w:p w:rsidR="00497021" w:rsidRPr="00C4530C" w:rsidRDefault="00497021" w:rsidP="00497021">
      <w:pPr>
        <w:rPr>
          <w:rFonts w:ascii="Arial" w:hAnsi="Arial" w:cs="Arial"/>
          <w:sz w:val="24"/>
          <w:szCs w:val="24"/>
        </w:rPr>
      </w:pPr>
      <w:r w:rsidRPr="00C4530C">
        <w:rPr>
          <w:rFonts w:ascii="Arial" w:hAnsi="Arial" w:cs="Arial"/>
          <w:sz w:val="24"/>
          <w:szCs w:val="24"/>
        </w:rPr>
        <w:t xml:space="preserve">Q: </w:t>
      </w:r>
      <w:r w:rsidR="0092486D">
        <w:rPr>
          <w:rFonts w:ascii="Arial" w:hAnsi="Arial" w:cs="Arial"/>
          <w:sz w:val="24"/>
          <w:szCs w:val="24"/>
        </w:rPr>
        <w:t>Is down payment assistance available</w:t>
      </w:r>
      <w:r>
        <w:rPr>
          <w:rFonts w:ascii="Arial" w:hAnsi="Arial" w:cs="Arial"/>
          <w:sz w:val="24"/>
          <w:szCs w:val="24"/>
        </w:rPr>
        <w:t>?</w:t>
      </w:r>
    </w:p>
    <w:p w:rsidR="00497021" w:rsidRDefault="0092486D" w:rsidP="00497021">
      <w:pPr>
        <w:rPr>
          <w:rFonts w:ascii="Arial" w:hAnsi="Arial" w:cs="Arial"/>
          <w:sz w:val="24"/>
          <w:szCs w:val="24"/>
        </w:rPr>
      </w:pPr>
      <w:r>
        <w:rPr>
          <w:rFonts w:ascii="Arial" w:hAnsi="Arial" w:cs="Arial"/>
          <w:sz w:val="24"/>
          <w:szCs w:val="24"/>
        </w:rPr>
        <w:t>A:  S</w:t>
      </w:r>
      <w:r w:rsidR="000E18EE">
        <w:rPr>
          <w:rFonts w:ascii="Arial" w:hAnsi="Arial" w:cs="Arial"/>
          <w:sz w:val="24"/>
          <w:szCs w:val="24"/>
        </w:rPr>
        <w:t>AL</w:t>
      </w:r>
      <w:r>
        <w:rPr>
          <w:rFonts w:ascii="Arial" w:hAnsi="Arial" w:cs="Arial"/>
          <w:sz w:val="24"/>
          <w:szCs w:val="24"/>
        </w:rPr>
        <w:t xml:space="preserve">T provides substantial down payment assistance at VME.  Not only does SALT provide 3% in cash down payment assistance, but each purchaser receives additional assistance equal to the cost of the lot which is approximately $21,000.  The total amount of assistance provided </w:t>
      </w:r>
      <w:r w:rsidRPr="0092486D">
        <w:rPr>
          <w:rFonts w:ascii="Arial" w:hAnsi="Arial" w:cs="Arial"/>
          <w:sz w:val="24"/>
          <w:szCs w:val="24"/>
        </w:rPr>
        <w:t>will be recorded as a second lien on the property, held by Pima County, requiring a</w:t>
      </w:r>
      <w:r w:rsidR="00D76EDE">
        <w:rPr>
          <w:rFonts w:ascii="Arial" w:hAnsi="Arial" w:cs="Arial"/>
          <w:sz w:val="24"/>
          <w:szCs w:val="24"/>
        </w:rPr>
        <w:t xml:space="preserve"> </w:t>
      </w:r>
      <w:proofErr w:type="spellStart"/>
      <w:proofErr w:type="gramStart"/>
      <w:r w:rsidR="00D76EDE">
        <w:rPr>
          <w:rFonts w:ascii="Arial" w:hAnsi="Arial" w:cs="Arial"/>
          <w:sz w:val="24"/>
          <w:szCs w:val="24"/>
        </w:rPr>
        <w:t>one time</w:t>
      </w:r>
      <w:proofErr w:type="spellEnd"/>
      <w:proofErr w:type="gramEnd"/>
      <w:r w:rsidRPr="0092486D">
        <w:rPr>
          <w:rFonts w:ascii="Arial" w:hAnsi="Arial" w:cs="Arial"/>
          <w:sz w:val="24"/>
          <w:szCs w:val="24"/>
        </w:rPr>
        <w:t xml:space="preserve"> </w:t>
      </w:r>
      <w:r w:rsidRPr="0092486D">
        <w:rPr>
          <w:rFonts w:ascii="Arial" w:hAnsi="Arial" w:cs="Arial"/>
          <w:sz w:val="24"/>
          <w:szCs w:val="24"/>
          <w:u w:val="single"/>
        </w:rPr>
        <w:t>affordability restriction</w:t>
      </w:r>
      <w:r w:rsidRPr="0092486D">
        <w:rPr>
          <w:rFonts w:ascii="Arial" w:hAnsi="Arial" w:cs="Arial"/>
          <w:sz w:val="24"/>
          <w:szCs w:val="24"/>
        </w:rPr>
        <w:t xml:space="preserve"> for 10 years from date of closing.</w:t>
      </w:r>
    </w:p>
    <w:p w:rsidR="0092486D" w:rsidRPr="00C4530C" w:rsidRDefault="0092486D" w:rsidP="0092486D">
      <w:pPr>
        <w:rPr>
          <w:rFonts w:ascii="Arial" w:hAnsi="Arial" w:cs="Arial"/>
          <w:sz w:val="24"/>
          <w:szCs w:val="24"/>
        </w:rPr>
      </w:pPr>
      <w:r w:rsidRPr="00C4530C">
        <w:rPr>
          <w:rFonts w:ascii="Arial" w:hAnsi="Arial" w:cs="Arial"/>
          <w:sz w:val="24"/>
          <w:szCs w:val="24"/>
        </w:rPr>
        <w:t xml:space="preserve">Q: </w:t>
      </w:r>
      <w:r w:rsidR="0050058E">
        <w:rPr>
          <w:rFonts w:ascii="Arial" w:hAnsi="Arial" w:cs="Arial"/>
          <w:sz w:val="24"/>
          <w:szCs w:val="24"/>
        </w:rPr>
        <w:t>What is the affordability restriction</w:t>
      </w:r>
      <w:r w:rsidRPr="00C4530C">
        <w:rPr>
          <w:rFonts w:ascii="Arial" w:hAnsi="Arial" w:cs="Arial"/>
          <w:sz w:val="24"/>
          <w:szCs w:val="24"/>
        </w:rPr>
        <w:t>?</w:t>
      </w:r>
    </w:p>
    <w:p w:rsidR="0050058E" w:rsidRDefault="0092486D" w:rsidP="0092486D">
      <w:pPr>
        <w:rPr>
          <w:rFonts w:ascii="Arial" w:hAnsi="Arial" w:cs="Arial"/>
          <w:sz w:val="24"/>
          <w:szCs w:val="24"/>
        </w:rPr>
      </w:pPr>
      <w:r w:rsidRPr="008844DC">
        <w:rPr>
          <w:rFonts w:ascii="Arial" w:hAnsi="Arial" w:cs="Arial"/>
          <w:sz w:val="24"/>
          <w:szCs w:val="24"/>
        </w:rPr>
        <w:t xml:space="preserve">A:  </w:t>
      </w:r>
      <w:r w:rsidR="0050058E">
        <w:rPr>
          <w:rFonts w:ascii="Arial" w:hAnsi="Arial" w:cs="Arial"/>
          <w:sz w:val="24"/>
          <w:szCs w:val="24"/>
        </w:rPr>
        <w:t xml:space="preserve">Because each purchaser of a </w:t>
      </w:r>
      <w:r w:rsidR="0050058E">
        <w:rPr>
          <w:rFonts w:ascii="Arial" w:hAnsi="Arial" w:cs="Arial"/>
          <w:sz w:val="24"/>
          <w:szCs w:val="24"/>
        </w:rPr>
        <w:t xml:space="preserve">SALT </w:t>
      </w:r>
      <w:r w:rsidR="0050058E">
        <w:rPr>
          <w:rFonts w:ascii="Arial" w:hAnsi="Arial" w:cs="Arial"/>
          <w:sz w:val="24"/>
          <w:szCs w:val="24"/>
        </w:rPr>
        <w:t>home in VME will benefit tremendously from these forms of assistance by making the 1</w:t>
      </w:r>
      <w:r w:rsidR="0050058E" w:rsidRPr="0050058E">
        <w:rPr>
          <w:rFonts w:ascii="Arial" w:hAnsi="Arial" w:cs="Arial"/>
          <w:sz w:val="24"/>
          <w:szCs w:val="24"/>
          <w:vertAlign w:val="superscript"/>
        </w:rPr>
        <w:t>st</w:t>
      </w:r>
      <w:r w:rsidR="0050058E">
        <w:rPr>
          <w:rFonts w:ascii="Arial" w:hAnsi="Arial" w:cs="Arial"/>
          <w:sz w:val="24"/>
          <w:szCs w:val="24"/>
        </w:rPr>
        <w:t xml:space="preserve"> Mortgage affordable, SALT is required to record a lien for these amount(s)</w:t>
      </w:r>
      <w:r w:rsidR="000E18EE">
        <w:rPr>
          <w:rFonts w:ascii="Arial" w:hAnsi="Arial" w:cs="Arial"/>
          <w:sz w:val="24"/>
          <w:szCs w:val="24"/>
        </w:rPr>
        <w:t xml:space="preserve"> assuring continued affordability for ten years</w:t>
      </w:r>
      <w:r w:rsidR="0050058E">
        <w:rPr>
          <w:rFonts w:ascii="Arial" w:hAnsi="Arial" w:cs="Arial"/>
          <w:sz w:val="24"/>
          <w:szCs w:val="24"/>
        </w:rPr>
        <w:t xml:space="preserve">. </w:t>
      </w:r>
    </w:p>
    <w:p w:rsidR="0050058E" w:rsidRPr="00C4530C" w:rsidRDefault="0050058E" w:rsidP="0050058E">
      <w:pPr>
        <w:rPr>
          <w:rFonts w:ascii="Arial" w:hAnsi="Arial" w:cs="Arial"/>
          <w:sz w:val="24"/>
          <w:szCs w:val="24"/>
        </w:rPr>
      </w:pPr>
      <w:r w:rsidRPr="00C4530C">
        <w:rPr>
          <w:rFonts w:ascii="Arial" w:hAnsi="Arial" w:cs="Arial"/>
          <w:sz w:val="24"/>
          <w:szCs w:val="24"/>
        </w:rPr>
        <w:t xml:space="preserve">Q: </w:t>
      </w:r>
      <w:r>
        <w:rPr>
          <w:rFonts w:ascii="Arial" w:hAnsi="Arial" w:cs="Arial"/>
          <w:sz w:val="24"/>
          <w:szCs w:val="24"/>
        </w:rPr>
        <w:t>How does the affordability restriction lien work?</w:t>
      </w:r>
    </w:p>
    <w:p w:rsidR="0092486D" w:rsidRDefault="0050058E" w:rsidP="0050058E">
      <w:pPr>
        <w:rPr>
          <w:rFonts w:ascii="Arial" w:hAnsi="Arial" w:cs="Arial"/>
          <w:sz w:val="24"/>
          <w:szCs w:val="24"/>
        </w:rPr>
      </w:pPr>
      <w:r w:rsidRPr="008844DC">
        <w:rPr>
          <w:rFonts w:ascii="Arial" w:hAnsi="Arial" w:cs="Arial"/>
          <w:sz w:val="24"/>
          <w:szCs w:val="24"/>
        </w:rPr>
        <w:t xml:space="preserve">A:  </w:t>
      </w:r>
      <w:r w:rsidR="000E18EE">
        <w:rPr>
          <w:rFonts w:ascii="Arial" w:hAnsi="Arial" w:cs="Arial"/>
          <w:sz w:val="24"/>
          <w:szCs w:val="24"/>
        </w:rPr>
        <w:t>The total amount of assistance provided by SALT will be recorded as a second lien.  If the property is sold within the ten-year restriction period, the buyer must either sell the home to another qualifying purchaser or repay the lien amount.</w:t>
      </w:r>
      <w:r w:rsidR="00196440">
        <w:rPr>
          <w:rFonts w:ascii="Arial" w:hAnsi="Arial" w:cs="Arial"/>
          <w:sz w:val="24"/>
          <w:szCs w:val="24"/>
        </w:rPr>
        <w:t xml:space="preserve"> The new buyer will assume the affordability restriction lien at full face value, and the liens are not prorated.</w:t>
      </w:r>
    </w:p>
    <w:p w:rsidR="004C11A8" w:rsidRPr="00C4530C" w:rsidRDefault="004C11A8" w:rsidP="004C11A8">
      <w:pPr>
        <w:rPr>
          <w:rFonts w:ascii="Arial" w:hAnsi="Arial" w:cs="Arial"/>
          <w:sz w:val="24"/>
          <w:szCs w:val="24"/>
        </w:rPr>
      </w:pPr>
      <w:r w:rsidRPr="00C4530C">
        <w:rPr>
          <w:rFonts w:ascii="Arial" w:hAnsi="Arial" w:cs="Arial"/>
          <w:sz w:val="24"/>
          <w:szCs w:val="24"/>
        </w:rPr>
        <w:t xml:space="preserve">Q: How do I apply for </w:t>
      </w:r>
      <w:r w:rsidR="006517E1" w:rsidRPr="00C4530C">
        <w:rPr>
          <w:rFonts w:ascii="Arial" w:hAnsi="Arial" w:cs="Arial"/>
          <w:sz w:val="24"/>
          <w:szCs w:val="24"/>
        </w:rPr>
        <w:t>VME Homeownership</w:t>
      </w:r>
      <w:r w:rsidRPr="00C4530C">
        <w:rPr>
          <w:rFonts w:ascii="Arial" w:hAnsi="Arial" w:cs="Arial"/>
          <w:sz w:val="24"/>
          <w:szCs w:val="24"/>
        </w:rPr>
        <w:t>?</w:t>
      </w:r>
    </w:p>
    <w:p w:rsidR="00C4530C" w:rsidRDefault="004C11A8" w:rsidP="004C11A8">
      <w:pPr>
        <w:rPr>
          <w:rFonts w:ascii="Arial" w:hAnsi="Arial" w:cs="Arial"/>
          <w:sz w:val="24"/>
          <w:szCs w:val="24"/>
        </w:rPr>
      </w:pPr>
      <w:r w:rsidRPr="008844DC">
        <w:rPr>
          <w:rFonts w:ascii="Arial" w:hAnsi="Arial" w:cs="Arial"/>
          <w:sz w:val="24"/>
          <w:szCs w:val="24"/>
        </w:rPr>
        <w:t xml:space="preserve">A:  </w:t>
      </w:r>
      <w:proofErr w:type="gramStart"/>
      <w:r w:rsidR="00C4530C">
        <w:rPr>
          <w:rFonts w:ascii="Arial" w:hAnsi="Arial" w:cs="Arial"/>
          <w:sz w:val="24"/>
          <w:szCs w:val="24"/>
        </w:rPr>
        <w:t>Submitting an application</w:t>
      </w:r>
      <w:proofErr w:type="gramEnd"/>
      <w:r w:rsidR="00C4530C">
        <w:rPr>
          <w:rFonts w:ascii="Arial" w:hAnsi="Arial" w:cs="Arial"/>
          <w:sz w:val="24"/>
          <w:szCs w:val="24"/>
        </w:rPr>
        <w:t xml:space="preserve"> requires a $50 fee for each adult listed on the application.  We do not want you to </w:t>
      </w:r>
      <w:proofErr w:type="gramStart"/>
      <w:r w:rsidR="00C4530C">
        <w:rPr>
          <w:rFonts w:ascii="Arial" w:hAnsi="Arial" w:cs="Arial"/>
          <w:sz w:val="24"/>
          <w:szCs w:val="24"/>
        </w:rPr>
        <w:t>submit an application</w:t>
      </w:r>
      <w:proofErr w:type="gramEnd"/>
      <w:r w:rsidR="00C4530C">
        <w:rPr>
          <w:rFonts w:ascii="Arial" w:hAnsi="Arial" w:cs="Arial"/>
          <w:sz w:val="24"/>
          <w:szCs w:val="24"/>
        </w:rPr>
        <w:t xml:space="preserve"> until you have determined that your income falls within the guidelines, and that your credit score is above the minimum amount required.  </w:t>
      </w:r>
    </w:p>
    <w:p w:rsidR="008825D5" w:rsidRPr="008844DC" w:rsidRDefault="008825D5" w:rsidP="008825D5">
      <w:pPr>
        <w:rPr>
          <w:rFonts w:ascii="Arial" w:hAnsi="Arial" w:cs="Arial"/>
          <w:sz w:val="24"/>
          <w:szCs w:val="24"/>
        </w:rPr>
      </w:pPr>
      <w:r w:rsidRPr="008844DC">
        <w:rPr>
          <w:rFonts w:ascii="Arial" w:hAnsi="Arial" w:cs="Arial"/>
          <w:sz w:val="24"/>
          <w:szCs w:val="24"/>
        </w:rPr>
        <w:t>Q:  Is there mortgage insurance required?</w:t>
      </w:r>
    </w:p>
    <w:p w:rsidR="008825D5" w:rsidRDefault="008825D5" w:rsidP="008825D5">
      <w:pPr>
        <w:rPr>
          <w:rFonts w:ascii="Arial" w:hAnsi="Arial" w:cs="Arial"/>
          <w:sz w:val="24"/>
          <w:szCs w:val="24"/>
        </w:rPr>
      </w:pPr>
      <w:r w:rsidRPr="008844DC">
        <w:rPr>
          <w:rFonts w:ascii="Arial" w:hAnsi="Arial" w:cs="Arial"/>
          <w:sz w:val="24"/>
          <w:szCs w:val="24"/>
        </w:rPr>
        <w:t xml:space="preserve">A:  </w:t>
      </w:r>
      <w:r>
        <w:rPr>
          <w:rFonts w:ascii="Arial" w:hAnsi="Arial" w:cs="Arial"/>
          <w:sz w:val="24"/>
          <w:szCs w:val="24"/>
        </w:rPr>
        <w:t>SALT’s preferred lender is providing 1</w:t>
      </w:r>
      <w:r w:rsidRPr="00775E41">
        <w:rPr>
          <w:rFonts w:ascii="Arial" w:hAnsi="Arial" w:cs="Arial"/>
          <w:sz w:val="24"/>
          <w:szCs w:val="24"/>
          <w:vertAlign w:val="superscript"/>
        </w:rPr>
        <w:t>st</w:t>
      </w:r>
      <w:r>
        <w:rPr>
          <w:rFonts w:ascii="Arial" w:hAnsi="Arial" w:cs="Arial"/>
          <w:sz w:val="24"/>
          <w:szCs w:val="24"/>
        </w:rPr>
        <w:t xml:space="preserve"> mortgages without mortgage insurance</w:t>
      </w:r>
      <w:r w:rsidRPr="008844DC">
        <w:rPr>
          <w:rFonts w:ascii="Arial" w:hAnsi="Arial" w:cs="Arial"/>
          <w:sz w:val="24"/>
          <w:szCs w:val="24"/>
        </w:rPr>
        <w:t>.</w:t>
      </w:r>
      <w:r>
        <w:rPr>
          <w:rFonts w:ascii="Arial" w:hAnsi="Arial" w:cs="Arial"/>
          <w:sz w:val="24"/>
          <w:szCs w:val="24"/>
        </w:rPr>
        <w:t xml:space="preserve">  This can save over $100 per month.  If you are already working with a lender or are pre-approved, you will have to evaluate determine what the Mortgage Insurance re</w:t>
      </w:r>
      <w:r>
        <w:rPr>
          <w:rFonts w:ascii="Arial" w:hAnsi="Arial" w:cs="Arial"/>
          <w:sz w:val="24"/>
          <w:szCs w:val="24"/>
        </w:rPr>
        <w:t>quirements are from your lender</w:t>
      </w:r>
      <w:r>
        <w:rPr>
          <w:rFonts w:ascii="Arial" w:hAnsi="Arial" w:cs="Arial"/>
          <w:sz w:val="24"/>
          <w:szCs w:val="24"/>
        </w:rPr>
        <w:t xml:space="preserve"> and determine if it is the best mortgage for your purchase.</w:t>
      </w:r>
    </w:p>
    <w:p w:rsidR="00681AD9" w:rsidRPr="008844DC" w:rsidRDefault="00681AD9" w:rsidP="00681AD9">
      <w:pPr>
        <w:rPr>
          <w:rFonts w:ascii="Arial" w:hAnsi="Arial" w:cs="Arial"/>
          <w:sz w:val="24"/>
          <w:szCs w:val="24"/>
        </w:rPr>
      </w:pPr>
      <w:r w:rsidRPr="008844DC">
        <w:rPr>
          <w:rFonts w:ascii="Arial" w:hAnsi="Arial" w:cs="Arial"/>
          <w:sz w:val="24"/>
          <w:szCs w:val="24"/>
        </w:rPr>
        <w:t xml:space="preserve">Q:  </w:t>
      </w:r>
      <w:r>
        <w:rPr>
          <w:rFonts w:ascii="Arial" w:hAnsi="Arial" w:cs="Arial"/>
          <w:sz w:val="24"/>
          <w:szCs w:val="24"/>
        </w:rPr>
        <w:t>How much down payment do I need to have</w:t>
      </w:r>
      <w:r w:rsidRPr="008844DC">
        <w:rPr>
          <w:rFonts w:ascii="Arial" w:hAnsi="Arial" w:cs="Arial"/>
          <w:sz w:val="24"/>
          <w:szCs w:val="24"/>
        </w:rPr>
        <w:t>?</w:t>
      </w:r>
    </w:p>
    <w:p w:rsidR="00681AD9" w:rsidRPr="008844DC" w:rsidRDefault="00681AD9" w:rsidP="00681AD9">
      <w:pPr>
        <w:rPr>
          <w:rFonts w:ascii="Arial" w:hAnsi="Arial" w:cs="Arial"/>
          <w:sz w:val="24"/>
          <w:szCs w:val="24"/>
        </w:rPr>
      </w:pPr>
      <w:r w:rsidRPr="008844DC">
        <w:rPr>
          <w:rFonts w:ascii="Arial" w:hAnsi="Arial" w:cs="Arial"/>
          <w:sz w:val="24"/>
          <w:szCs w:val="24"/>
        </w:rPr>
        <w:t xml:space="preserve">A:  </w:t>
      </w:r>
      <w:r>
        <w:rPr>
          <w:rFonts w:ascii="Arial" w:hAnsi="Arial" w:cs="Arial"/>
          <w:sz w:val="24"/>
          <w:szCs w:val="24"/>
        </w:rPr>
        <w:t xml:space="preserve">To enter into a contract to purchase a home at VME, the buyer must put $1,000 down toward the purchase of the home.  The contract requires a total down payment by the purchaser of 1% of the Total Purchase Price, and the additional down payment funds necessary will be due prior to or at closing.   </w:t>
      </w:r>
    </w:p>
    <w:p w:rsidR="00196440" w:rsidRPr="008844DC" w:rsidRDefault="00196440" w:rsidP="00196440">
      <w:pPr>
        <w:rPr>
          <w:rFonts w:ascii="Arial" w:hAnsi="Arial" w:cs="Arial"/>
          <w:sz w:val="24"/>
          <w:szCs w:val="24"/>
        </w:rPr>
      </w:pPr>
      <w:r w:rsidRPr="008844DC">
        <w:rPr>
          <w:rFonts w:ascii="Arial" w:hAnsi="Arial" w:cs="Arial"/>
          <w:sz w:val="24"/>
          <w:szCs w:val="24"/>
        </w:rPr>
        <w:t xml:space="preserve">Q:  </w:t>
      </w:r>
      <w:r>
        <w:rPr>
          <w:rFonts w:ascii="Arial" w:hAnsi="Arial" w:cs="Arial"/>
          <w:sz w:val="24"/>
          <w:szCs w:val="24"/>
        </w:rPr>
        <w:t>Are Cash purchases allowed?</w:t>
      </w:r>
    </w:p>
    <w:p w:rsidR="00196440" w:rsidRDefault="00196440" w:rsidP="00196440">
      <w:pPr>
        <w:rPr>
          <w:rFonts w:ascii="Arial" w:hAnsi="Arial" w:cs="Arial"/>
          <w:sz w:val="24"/>
          <w:szCs w:val="24"/>
        </w:rPr>
      </w:pPr>
      <w:r w:rsidRPr="008844DC">
        <w:rPr>
          <w:rFonts w:ascii="Arial" w:hAnsi="Arial" w:cs="Arial"/>
          <w:sz w:val="24"/>
          <w:szCs w:val="24"/>
        </w:rPr>
        <w:t xml:space="preserve">A:  </w:t>
      </w:r>
      <w:r>
        <w:rPr>
          <w:rFonts w:ascii="Arial" w:hAnsi="Arial" w:cs="Arial"/>
          <w:sz w:val="24"/>
          <w:szCs w:val="24"/>
        </w:rPr>
        <w:t xml:space="preserve">Yes.  All cash purchases are allowed provided the income restrictions are met. </w:t>
      </w:r>
      <w:r>
        <w:rPr>
          <w:rFonts w:ascii="Arial" w:hAnsi="Arial" w:cs="Arial"/>
          <w:sz w:val="24"/>
          <w:szCs w:val="24"/>
        </w:rPr>
        <w:t>Cash purchasers will have to provide an additional earnest money deposit prior to the start of construction</w:t>
      </w:r>
      <w:r>
        <w:rPr>
          <w:rFonts w:ascii="Arial" w:hAnsi="Arial" w:cs="Arial"/>
          <w:sz w:val="24"/>
          <w:szCs w:val="24"/>
        </w:rPr>
        <w:t xml:space="preserve"> in the amount of $20,000</w:t>
      </w:r>
      <w:bookmarkStart w:id="0" w:name="_GoBack"/>
      <w:bookmarkEnd w:id="0"/>
      <w:r>
        <w:rPr>
          <w:rFonts w:ascii="Arial" w:hAnsi="Arial" w:cs="Arial"/>
          <w:sz w:val="24"/>
          <w:szCs w:val="24"/>
        </w:rPr>
        <w:t>.</w:t>
      </w:r>
    </w:p>
    <w:p w:rsidR="008825D5" w:rsidRPr="008844DC" w:rsidRDefault="008825D5" w:rsidP="008825D5">
      <w:pPr>
        <w:rPr>
          <w:rFonts w:ascii="Arial" w:hAnsi="Arial" w:cs="Arial"/>
          <w:sz w:val="24"/>
          <w:szCs w:val="24"/>
        </w:rPr>
      </w:pPr>
      <w:r w:rsidRPr="008844DC">
        <w:rPr>
          <w:rFonts w:ascii="Arial" w:hAnsi="Arial" w:cs="Arial"/>
          <w:sz w:val="24"/>
          <w:szCs w:val="24"/>
        </w:rPr>
        <w:t xml:space="preserve">Q:  Do I need </w:t>
      </w:r>
      <w:r>
        <w:rPr>
          <w:rFonts w:ascii="Arial" w:hAnsi="Arial" w:cs="Arial"/>
          <w:sz w:val="24"/>
          <w:szCs w:val="24"/>
        </w:rPr>
        <w:t>a</w:t>
      </w:r>
      <w:r w:rsidRPr="008844DC">
        <w:rPr>
          <w:rFonts w:ascii="Arial" w:hAnsi="Arial" w:cs="Arial"/>
          <w:sz w:val="24"/>
          <w:szCs w:val="24"/>
        </w:rPr>
        <w:t xml:space="preserve"> REALTOR?</w:t>
      </w:r>
    </w:p>
    <w:p w:rsidR="008825D5" w:rsidRPr="008844DC" w:rsidRDefault="008825D5" w:rsidP="008825D5">
      <w:pPr>
        <w:rPr>
          <w:rFonts w:ascii="Arial" w:hAnsi="Arial" w:cs="Arial"/>
          <w:sz w:val="24"/>
          <w:szCs w:val="24"/>
        </w:rPr>
      </w:pPr>
      <w:r w:rsidRPr="008844DC">
        <w:rPr>
          <w:rFonts w:ascii="Arial" w:hAnsi="Arial" w:cs="Arial"/>
          <w:sz w:val="24"/>
          <w:szCs w:val="24"/>
        </w:rPr>
        <w:t xml:space="preserve">A:  No. The </w:t>
      </w:r>
      <w:r>
        <w:rPr>
          <w:rFonts w:ascii="Arial" w:hAnsi="Arial" w:cs="Arial"/>
          <w:sz w:val="24"/>
          <w:szCs w:val="24"/>
        </w:rPr>
        <w:t>VME Homeownership</w:t>
      </w:r>
      <w:r w:rsidRPr="008844DC">
        <w:rPr>
          <w:rFonts w:ascii="Arial" w:hAnsi="Arial" w:cs="Arial"/>
          <w:sz w:val="24"/>
          <w:szCs w:val="24"/>
        </w:rPr>
        <w:t xml:space="preserve"> program does not have or require the h</w:t>
      </w:r>
      <w:r>
        <w:rPr>
          <w:rFonts w:ascii="Arial" w:hAnsi="Arial" w:cs="Arial"/>
          <w:sz w:val="24"/>
          <w:szCs w:val="24"/>
        </w:rPr>
        <w:t xml:space="preserve">omebuyer to work with a </w:t>
      </w:r>
      <w:r w:rsidRPr="008844DC">
        <w:rPr>
          <w:rFonts w:ascii="Arial" w:hAnsi="Arial" w:cs="Arial"/>
          <w:sz w:val="24"/>
          <w:szCs w:val="24"/>
        </w:rPr>
        <w:t>Realtor.</w:t>
      </w:r>
      <w:r w:rsidR="00196440">
        <w:rPr>
          <w:rFonts w:ascii="Arial" w:hAnsi="Arial" w:cs="Arial"/>
          <w:sz w:val="24"/>
          <w:szCs w:val="24"/>
        </w:rPr>
        <w:t xml:space="preserve">  If buyer wants to hire a realtor, the realtor’s commission will be added to the cost of the home.</w:t>
      </w:r>
    </w:p>
    <w:p w:rsidR="008825D5" w:rsidRPr="008844DC" w:rsidRDefault="008825D5" w:rsidP="008825D5">
      <w:pPr>
        <w:rPr>
          <w:rFonts w:ascii="Arial" w:hAnsi="Arial" w:cs="Arial"/>
          <w:sz w:val="24"/>
          <w:szCs w:val="24"/>
        </w:rPr>
      </w:pPr>
      <w:r w:rsidRPr="008844DC">
        <w:rPr>
          <w:rFonts w:ascii="Arial" w:hAnsi="Arial" w:cs="Arial"/>
          <w:sz w:val="24"/>
          <w:szCs w:val="24"/>
        </w:rPr>
        <w:t>Q:  What if I own another house?</w:t>
      </w:r>
    </w:p>
    <w:p w:rsidR="008825D5" w:rsidRPr="008844DC" w:rsidRDefault="008825D5" w:rsidP="008825D5">
      <w:pPr>
        <w:rPr>
          <w:rFonts w:ascii="Arial" w:hAnsi="Arial" w:cs="Arial"/>
          <w:sz w:val="24"/>
          <w:szCs w:val="24"/>
        </w:rPr>
      </w:pPr>
      <w:r w:rsidRPr="008844DC">
        <w:rPr>
          <w:rFonts w:ascii="Arial" w:hAnsi="Arial" w:cs="Arial"/>
          <w:sz w:val="24"/>
          <w:szCs w:val="24"/>
        </w:rPr>
        <w:lastRenderedPageBreak/>
        <w:t>A:  You do not have to be a current renter or first</w:t>
      </w:r>
      <w:r>
        <w:rPr>
          <w:rFonts w:ascii="Arial" w:hAnsi="Arial" w:cs="Arial"/>
          <w:sz w:val="24"/>
          <w:szCs w:val="24"/>
        </w:rPr>
        <w:t>-</w:t>
      </w:r>
      <w:r w:rsidRPr="008844DC">
        <w:rPr>
          <w:rFonts w:ascii="Arial" w:hAnsi="Arial" w:cs="Arial"/>
          <w:sz w:val="24"/>
          <w:szCs w:val="24"/>
        </w:rPr>
        <w:t xml:space="preserve">time homebuyers to qualify for the </w:t>
      </w:r>
      <w:r>
        <w:rPr>
          <w:rFonts w:ascii="Arial" w:hAnsi="Arial" w:cs="Arial"/>
          <w:sz w:val="24"/>
          <w:szCs w:val="24"/>
        </w:rPr>
        <w:t>VME Homeownership</w:t>
      </w:r>
      <w:r w:rsidRPr="008844DC">
        <w:rPr>
          <w:rFonts w:ascii="Arial" w:hAnsi="Arial" w:cs="Arial"/>
          <w:sz w:val="24"/>
          <w:szCs w:val="24"/>
        </w:rPr>
        <w:t xml:space="preserve"> program.</w:t>
      </w:r>
      <w:r>
        <w:rPr>
          <w:rFonts w:ascii="Arial" w:hAnsi="Arial" w:cs="Arial"/>
          <w:sz w:val="24"/>
          <w:szCs w:val="24"/>
        </w:rPr>
        <w:t xml:space="preserve">  The VME home purchased must be used as your primary residence.</w:t>
      </w:r>
    </w:p>
    <w:p w:rsidR="008825D5" w:rsidRPr="008844DC" w:rsidRDefault="008825D5" w:rsidP="008825D5">
      <w:pPr>
        <w:rPr>
          <w:rFonts w:ascii="Arial" w:hAnsi="Arial" w:cs="Arial"/>
          <w:sz w:val="24"/>
          <w:szCs w:val="24"/>
        </w:rPr>
      </w:pPr>
      <w:r w:rsidRPr="008844DC">
        <w:rPr>
          <w:rFonts w:ascii="Arial" w:hAnsi="Arial" w:cs="Arial"/>
          <w:sz w:val="24"/>
          <w:szCs w:val="24"/>
        </w:rPr>
        <w:t>Q: If I have money available for the down payment and closing costs can I still use the program?</w:t>
      </w:r>
    </w:p>
    <w:p w:rsidR="008825D5" w:rsidRPr="008844DC" w:rsidRDefault="008825D5" w:rsidP="008825D5">
      <w:pPr>
        <w:rPr>
          <w:rFonts w:ascii="Arial" w:hAnsi="Arial" w:cs="Arial"/>
          <w:sz w:val="24"/>
          <w:szCs w:val="24"/>
        </w:rPr>
      </w:pPr>
      <w:r w:rsidRPr="008844DC">
        <w:rPr>
          <w:rFonts w:ascii="Arial" w:hAnsi="Arial" w:cs="Arial"/>
          <w:sz w:val="24"/>
          <w:szCs w:val="24"/>
        </w:rPr>
        <w:t xml:space="preserve">A:  Yes. The homebuyer can use the </w:t>
      </w:r>
      <w:r>
        <w:rPr>
          <w:rFonts w:ascii="Arial" w:hAnsi="Arial" w:cs="Arial"/>
          <w:sz w:val="24"/>
          <w:szCs w:val="24"/>
        </w:rPr>
        <w:t>VME Homeownership</w:t>
      </w:r>
      <w:r w:rsidRPr="008844DC">
        <w:rPr>
          <w:rFonts w:ascii="Arial" w:hAnsi="Arial" w:cs="Arial"/>
          <w:sz w:val="24"/>
          <w:szCs w:val="24"/>
        </w:rPr>
        <w:t xml:space="preserve"> assistance and either (1) keep their current funds in savings or (2) combine their current funds with the </w:t>
      </w:r>
      <w:r>
        <w:rPr>
          <w:rFonts w:ascii="Arial" w:hAnsi="Arial" w:cs="Arial"/>
          <w:sz w:val="24"/>
          <w:szCs w:val="24"/>
        </w:rPr>
        <w:t>VME Homeownership</w:t>
      </w:r>
      <w:r w:rsidRPr="008844DC">
        <w:rPr>
          <w:rFonts w:ascii="Arial" w:hAnsi="Arial" w:cs="Arial"/>
          <w:sz w:val="24"/>
          <w:szCs w:val="24"/>
        </w:rPr>
        <w:t xml:space="preserve"> assistance. We promote SUSTAINABLE home ownership and providing the options of retaining money in the bank or lowering the mortgage balance further improv</w:t>
      </w:r>
      <w:r>
        <w:rPr>
          <w:rFonts w:ascii="Arial" w:hAnsi="Arial" w:cs="Arial"/>
          <w:sz w:val="24"/>
          <w:szCs w:val="24"/>
        </w:rPr>
        <w:t>es</w:t>
      </w:r>
      <w:r w:rsidRPr="008844DC">
        <w:rPr>
          <w:rFonts w:ascii="Arial" w:hAnsi="Arial" w:cs="Arial"/>
          <w:sz w:val="24"/>
          <w:szCs w:val="24"/>
        </w:rPr>
        <w:t xml:space="preserve"> affordability.</w:t>
      </w:r>
    </w:p>
    <w:p w:rsidR="004C11A8" w:rsidRPr="008844DC" w:rsidRDefault="008825D5" w:rsidP="004C11A8">
      <w:pPr>
        <w:rPr>
          <w:rFonts w:ascii="Arial" w:hAnsi="Arial" w:cs="Arial"/>
          <w:sz w:val="24"/>
          <w:szCs w:val="24"/>
        </w:rPr>
      </w:pPr>
      <w:r>
        <w:rPr>
          <w:rFonts w:ascii="Arial" w:hAnsi="Arial" w:cs="Arial"/>
          <w:sz w:val="24"/>
          <w:szCs w:val="24"/>
        </w:rPr>
        <w:t xml:space="preserve">Q:  </w:t>
      </w:r>
      <w:r w:rsidR="004C11A8" w:rsidRPr="008844DC">
        <w:rPr>
          <w:rFonts w:ascii="Arial" w:hAnsi="Arial" w:cs="Arial"/>
          <w:sz w:val="24"/>
          <w:szCs w:val="24"/>
        </w:rPr>
        <w:t>Are the program income limits based on after tax take home pay?</w:t>
      </w:r>
    </w:p>
    <w:p w:rsidR="004C11A8" w:rsidRPr="008844DC" w:rsidRDefault="008825D5" w:rsidP="004C11A8">
      <w:pPr>
        <w:rPr>
          <w:rFonts w:ascii="Arial" w:hAnsi="Arial" w:cs="Arial"/>
          <w:sz w:val="24"/>
          <w:szCs w:val="24"/>
        </w:rPr>
      </w:pPr>
      <w:r>
        <w:rPr>
          <w:rFonts w:ascii="Arial" w:hAnsi="Arial" w:cs="Arial"/>
          <w:sz w:val="24"/>
          <w:szCs w:val="24"/>
        </w:rPr>
        <w:t xml:space="preserve">A:  </w:t>
      </w:r>
      <w:r w:rsidR="004C11A8" w:rsidRPr="008844DC">
        <w:rPr>
          <w:rFonts w:ascii="Arial" w:hAnsi="Arial" w:cs="Arial"/>
          <w:sz w:val="24"/>
          <w:szCs w:val="24"/>
        </w:rPr>
        <w:t xml:space="preserve">The </w:t>
      </w:r>
      <w:r w:rsidR="006517E1">
        <w:rPr>
          <w:rFonts w:ascii="Arial" w:hAnsi="Arial" w:cs="Arial"/>
          <w:sz w:val="24"/>
          <w:szCs w:val="24"/>
        </w:rPr>
        <w:t>VME Homeownership</w:t>
      </w:r>
      <w:r w:rsidR="004C11A8" w:rsidRPr="008844DC">
        <w:rPr>
          <w:rFonts w:ascii="Arial" w:hAnsi="Arial" w:cs="Arial"/>
          <w:sz w:val="24"/>
          <w:szCs w:val="24"/>
        </w:rPr>
        <w:t xml:space="preserve"> income limit is based on the borrower’s pre-tax, gross income calculated by </w:t>
      </w:r>
      <w:r>
        <w:rPr>
          <w:rFonts w:ascii="Arial" w:hAnsi="Arial" w:cs="Arial"/>
          <w:sz w:val="24"/>
          <w:szCs w:val="24"/>
        </w:rPr>
        <w:t xml:space="preserve">SALT </w:t>
      </w:r>
      <w:r w:rsidRPr="008825D5">
        <w:rPr>
          <w:rFonts w:ascii="Arial" w:hAnsi="Arial" w:cs="Arial"/>
          <w:sz w:val="24"/>
          <w:szCs w:val="24"/>
          <w:u w:val="single"/>
        </w:rPr>
        <w:t>and</w:t>
      </w:r>
      <w:r>
        <w:rPr>
          <w:rFonts w:ascii="Arial" w:hAnsi="Arial" w:cs="Arial"/>
          <w:sz w:val="24"/>
          <w:szCs w:val="24"/>
        </w:rPr>
        <w:t xml:space="preserve"> </w:t>
      </w:r>
      <w:r w:rsidR="004C11A8" w:rsidRPr="008844DC">
        <w:rPr>
          <w:rFonts w:ascii="Arial" w:hAnsi="Arial" w:cs="Arial"/>
          <w:sz w:val="24"/>
          <w:szCs w:val="24"/>
        </w:rPr>
        <w:t xml:space="preserve">the lenders and used for the approval of the new underlying first mortgage. If your income is close to the program limit OR you want to determine your qualifying income for the </w:t>
      </w:r>
      <w:r w:rsidR="000E18EE" w:rsidRPr="008844DC">
        <w:rPr>
          <w:rFonts w:ascii="Arial" w:hAnsi="Arial" w:cs="Arial"/>
          <w:sz w:val="24"/>
          <w:szCs w:val="24"/>
        </w:rPr>
        <w:t>mortgage,</w:t>
      </w:r>
      <w:r w:rsidR="004C11A8" w:rsidRPr="008844DC">
        <w:rPr>
          <w:rFonts w:ascii="Arial" w:hAnsi="Arial" w:cs="Arial"/>
          <w:sz w:val="24"/>
          <w:szCs w:val="24"/>
        </w:rPr>
        <w:t xml:space="preserve"> you’ll need to meet with </w:t>
      </w:r>
      <w:r>
        <w:rPr>
          <w:rFonts w:ascii="Arial" w:hAnsi="Arial" w:cs="Arial"/>
          <w:sz w:val="24"/>
          <w:szCs w:val="24"/>
        </w:rPr>
        <w:t>SALT</w:t>
      </w:r>
      <w:r w:rsidR="004C11A8" w:rsidRPr="008844DC">
        <w:rPr>
          <w:rFonts w:ascii="Arial" w:hAnsi="Arial" w:cs="Arial"/>
          <w:sz w:val="24"/>
          <w:szCs w:val="24"/>
        </w:rPr>
        <w:t xml:space="preserve"> to determine what your final income figures will be.</w:t>
      </w:r>
    </w:p>
    <w:p w:rsidR="004C11A8" w:rsidRPr="008844DC" w:rsidRDefault="008825D5" w:rsidP="004C11A8">
      <w:pPr>
        <w:rPr>
          <w:rFonts w:ascii="Arial" w:hAnsi="Arial" w:cs="Arial"/>
          <w:sz w:val="24"/>
          <w:szCs w:val="24"/>
        </w:rPr>
      </w:pPr>
      <w:r>
        <w:rPr>
          <w:rFonts w:ascii="Arial" w:hAnsi="Arial" w:cs="Arial"/>
          <w:sz w:val="24"/>
          <w:szCs w:val="24"/>
        </w:rPr>
        <w:t xml:space="preserve">Q:  </w:t>
      </w:r>
      <w:r w:rsidR="004C11A8" w:rsidRPr="008844DC">
        <w:rPr>
          <w:rFonts w:ascii="Arial" w:hAnsi="Arial" w:cs="Arial"/>
          <w:sz w:val="24"/>
          <w:szCs w:val="24"/>
        </w:rPr>
        <w:t>My elderly parent lives with us and collects social security. Is this income counted against the program income limit?</w:t>
      </w:r>
    </w:p>
    <w:p w:rsidR="004C11A8" w:rsidRPr="008844DC" w:rsidRDefault="004C11A8" w:rsidP="004C11A8">
      <w:pPr>
        <w:rPr>
          <w:rFonts w:ascii="Arial" w:hAnsi="Arial" w:cs="Arial"/>
          <w:sz w:val="24"/>
          <w:szCs w:val="24"/>
        </w:rPr>
      </w:pPr>
      <w:r w:rsidRPr="008844DC">
        <w:rPr>
          <w:rFonts w:ascii="Arial" w:hAnsi="Arial" w:cs="Arial"/>
          <w:sz w:val="24"/>
          <w:szCs w:val="24"/>
        </w:rPr>
        <w:t xml:space="preserve">A:  </w:t>
      </w:r>
      <w:r w:rsidR="006517E1">
        <w:rPr>
          <w:rFonts w:ascii="Arial" w:hAnsi="Arial" w:cs="Arial"/>
          <w:sz w:val="24"/>
          <w:szCs w:val="24"/>
        </w:rPr>
        <w:t>VME Homeownership</w:t>
      </w:r>
      <w:r w:rsidR="006517E1" w:rsidRPr="008844DC">
        <w:rPr>
          <w:rFonts w:ascii="Arial" w:hAnsi="Arial" w:cs="Arial"/>
          <w:sz w:val="24"/>
          <w:szCs w:val="24"/>
        </w:rPr>
        <w:t xml:space="preserve"> </w:t>
      </w:r>
      <w:r w:rsidRPr="008844DC">
        <w:rPr>
          <w:rFonts w:ascii="Arial" w:hAnsi="Arial" w:cs="Arial"/>
          <w:sz w:val="24"/>
          <w:szCs w:val="24"/>
        </w:rPr>
        <w:t xml:space="preserve">income limit is based on </w:t>
      </w:r>
      <w:r w:rsidR="006517E1">
        <w:rPr>
          <w:rFonts w:ascii="Arial" w:hAnsi="Arial" w:cs="Arial"/>
          <w:sz w:val="24"/>
          <w:szCs w:val="24"/>
        </w:rPr>
        <w:t>"household" income.  Gross income from all Adult (over 18) members of the household must be included when certifying income</w:t>
      </w:r>
      <w:r w:rsidRPr="008844DC">
        <w:rPr>
          <w:rFonts w:ascii="Arial" w:hAnsi="Arial" w:cs="Arial"/>
          <w:sz w:val="24"/>
          <w:szCs w:val="24"/>
        </w:rPr>
        <w:t>.</w:t>
      </w:r>
    </w:p>
    <w:p w:rsidR="004C11A8" w:rsidRPr="008844DC" w:rsidRDefault="004C11A8" w:rsidP="004C11A8">
      <w:pPr>
        <w:rPr>
          <w:rFonts w:ascii="Arial" w:hAnsi="Arial" w:cs="Arial"/>
          <w:sz w:val="24"/>
          <w:szCs w:val="24"/>
        </w:rPr>
      </w:pPr>
      <w:r w:rsidRPr="008844DC">
        <w:rPr>
          <w:rFonts w:ascii="Arial" w:hAnsi="Arial" w:cs="Arial"/>
          <w:sz w:val="24"/>
          <w:szCs w:val="24"/>
        </w:rPr>
        <w:t>Q:</w:t>
      </w:r>
      <w:r w:rsidR="008825D5">
        <w:rPr>
          <w:rFonts w:ascii="Arial" w:hAnsi="Arial" w:cs="Arial"/>
          <w:sz w:val="24"/>
          <w:szCs w:val="24"/>
        </w:rPr>
        <w:t xml:space="preserve"> </w:t>
      </w:r>
      <w:r w:rsidRPr="008844DC">
        <w:rPr>
          <w:rFonts w:ascii="Arial" w:hAnsi="Arial" w:cs="Arial"/>
          <w:sz w:val="24"/>
          <w:szCs w:val="24"/>
        </w:rPr>
        <w:t xml:space="preserve"> Can you recommend a mortgage lender to use?</w:t>
      </w:r>
    </w:p>
    <w:p w:rsidR="004C11A8" w:rsidRPr="008844DC" w:rsidRDefault="004C11A8" w:rsidP="00F53E12">
      <w:pPr>
        <w:rPr>
          <w:rFonts w:ascii="Arial" w:hAnsi="Arial" w:cs="Arial"/>
          <w:sz w:val="24"/>
          <w:szCs w:val="24"/>
        </w:rPr>
      </w:pPr>
      <w:r w:rsidRPr="008844DC">
        <w:rPr>
          <w:rFonts w:ascii="Arial" w:hAnsi="Arial" w:cs="Arial"/>
          <w:sz w:val="24"/>
          <w:szCs w:val="24"/>
        </w:rPr>
        <w:t xml:space="preserve">A:  Unfortunately, we are not able to steer or direct you to a specific mortgage lender. </w:t>
      </w:r>
      <w:r w:rsidR="008825D5">
        <w:rPr>
          <w:rFonts w:ascii="Arial" w:hAnsi="Arial" w:cs="Arial"/>
          <w:sz w:val="24"/>
          <w:szCs w:val="24"/>
        </w:rPr>
        <w:t xml:space="preserve"> </w:t>
      </w:r>
      <w:r w:rsidR="00681AD9">
        <w:rPr>
          <w:rFonts w:ascii="Arial" w:hAnsi="Arial" w:cs="Arial"/>
          <w:sz w:val="24"/>
          <w:szCs w:val="24"/>
        </w:rPr>
        <w:t>SALT does have a preferred lender that will provide a below market rate 1</w:t>
      </w:r>
      <w:r w:rsidR="00681AD9" w:rsidRPr="00681AD9">
        <w:rPr>
          <w:rFonts w:ascii="Arial" w:hAnsi="Arial" w:cs="Arial"/>
          <w:sz w:val="24"/>
          <w:szCs w:val="24"/>
          <w:vertAlign w:val="superscript"/>
        </w:rPr>
        <w:t>st</w:t>
      </w:r>
      <w:r w:rsidR="00681AD9">
        <w:rPr>
          <w:rFonts w:ascii="Arial" w:hAnsi="Arial" w:cs="Arial"/>
          <w:sz w:val="24"/>
          <w:szCs w:val="24"/>
        </w:rPr>
        <w:t xml:space="preserve"> Mortgage, with no mortgage insurance.  </w:t>
      </w:r>
      <w:r w:rsidR="00F53E12" w:rsidRPr="00681AD9">
        <w:rPr>
          <w:rFonts w:ascii="Arial" w:hAnsi="Arial" w:cs="Arial"/>
          <w:sz w:val="24"/>
          <w:szCs w:val="24"/>
        </w:rPr>
        <w:t>Applicants that use a lender of their choice must understand (and their lender must understand) that the houses are sold at cost, which includes all closing costs.</w:t>
      </w:r>
      <w:r w:rsidR="00681AD9">
        <w:rPr>
          <w:rFonts w:ascii="Arial" w:hAnsi="Arial" w:cs="Arial"/>
          <w:sz w:val="24"/>
          <w:szCs w:val="24"/>
        </w:rPr>
        <w:t xml:space="preserve"> </w:t>
      </w:r>
      <w:r w:rsidR="00F53E12" w:rsidRPr="00681AD9">
        <w:rPr>
          <w:rFonts w:ascii="Arial" w:hAnsi="Arial" w:cs="Arial"/>
          <w:sz w:val="24"/>
          <w:szCs w:val="24"/>
        </w:rPr>
        <w:t>If using a lender of their choice, the purchase contract will include any added costs of using that lender. This will be reflected in the estimated purchase price and the monthly housing costs.</w:t>
      </w:r>
      <w:r w:rsidR="00F53E12">
        <w:rPr>
          <w:rFonts w:ascii="Arial" w:hAnsi="Arial" w:cs="Arial"/>
          <w:sz w:val="24"/>
          <w:szCs w:val="24"/>
        </w:rPr>
        <w:t xml:space="preserve"> </w:t>
      </w:r>
    </w:p>
    <w:p w:rsidR="004C11A8" w:rsidRPr="008844DC" w:rsidRDefault="004C11A8">
      <w:pPr>
        <w:rPr>
          <w:rFonts w:ascii="Arial" w:hAnsi="Arial" w:cs="Arial"/>
          <w:sz w:val="24"/>
          <w:szCs w:val="24"/>
        </w:rPr>
      </w:pPr>
    </w:p>
    <w:sectPr w:rsidR="004C11A8" w:rsidRPr="00884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243"/>
    <w:multiLevelType w:val="multilevel"/>
    <w:tmpl w:val="AC6C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637B3"/>
    <w:multiLevelType w:val="hybridMultilevel"/>
    <w:tmpl w:val="1BF61ED6"/>
    <w:lvl w:ilvl="0" w:tplc="3982B988">
      <w:start w:val="1"/>
      <w:numFmt w:val="bullet"/>
      <w:lvlText w:val=" "/>
      <w:lvlJc w:val="left"/>
      <w:pPr>
        <w:tabs>
          <w:tab w:val="num" w:pos="360"/>
        </w:tabs>
        <w:ind w:left="360" w:hanging="360"/>
      </w:pPr>
      <w:rPr>
        <w:rFonts w:ascii="Calibri" w:hAnsi="Calibri" w:hint="default"/>
      </w:rPr>
    </w:lvl>
    <w:lvl w:ilvl="1" w:tplc="15C8EBB4" w:tentative="1">
      <w:start w:val="1"/>
      <w:numFmt w:val="bullet"/>
      <w:lvlText w:val=" "/>
      <w:lvlJc w:val="left"/>
      <w:pPr>
        <w:tabs>
          <w:tab w:val="num" w:pos="1080"/>
        </w:tabs>
        <w:ind w:left="1080" w:hanging="360"/>
      </w:pPr>
      <w:rPr>
        <w:rFonts w:ascii="Calibri" w:hAnsi="Calibri" w:hint="default"/>
      </w:rPr>
    </w:lvl>
    <w:lvl w:ilvl="2" w:tplc="14AC76FC" w:tentative="1">
      <w:start w:val="1"/>
      <w:numFmt w:val="bullet"/>
      <w:lvlText w:val=" "/>
      <w:lvlJc w:val="left"/>
      <w:pPr>
        <w:tabs>
          <w:tab w:val="num" w:pos="1800"/>
        </w:tabs>
        <w:ind w:left="1800" w:hanging="360"/>
      </w:pPr>
      <w:rPr>
        <w:rFonts w:ascii="Calibri" w:hAnsi="Calibri" w:hint="default"/>
      </w:rPr>
    </w:lvl>
    <w:lvl w:ilvl="3" w:tplc="27D435C0" w:tentative="1">
      <w:start w:val="1"/>
      <w:numFmt w:val="bullet"/>
      <w:lvlText w:val=" "/>
      <w:lvlJc w:val="left"/>
      <w:pPr>
        <w:tabs>
          <w:tab w:val="num" w:pos="2520"/>
        </w:tabs>
        <w:ind w:left="2520" w:hanging="360"/>
      </w:pPr>
      <w:rPr>
        <w:rFonts w:ascii="Calibri" w:hAnsi="Calibri" w:hint="default"/>
      </w:rPr>
    </w:lvl>
    <w:lvl w:ilvl="4" w:tplc="62EA4410" w:tentative="1">
      <w:start w:val="1"/>
      <w:numFmt w:val="bullet"/>
      <w:lvlText w:val=" "/>
      <w:lvlJc w:val="left"/>
      <w:pPr>
        <w:tabs>
          <w:tab w:val="num" w:pos="3240"/>
        </w:tabs>
        <w:ind w:left="3240" w:hanging="360"/>
      </w:pPr>
      <w:rPr>
        <w:rFonts w:ascii="Calibri" w:hAnsi="Calibri" w:hint="default"/>
      </w:rPr>
    </w:lvl>
    <w:lvl w:ilvl="5" w:tplc="ACF0FADE" w:tentative="1">
      <w:start w:val="1"/>
      <w:numFmt w:val="bullet"/>
      <w:lvlText w:val=" "/>
      <w:lvlJc w:val="left"/>
      <w:pPr>
        <w:tabs>
          <w:tab w:val="num" w:pos="3960"/>
        </w:tabs>
        <w:ind w:left="3960" w:hanging="360"/>
      </w:pPr>
      <w:rPr>
        <w:rFonts w:ascii="Calibri" w:hAnsi="Calibri" w:hint="default"/>
      </w:rPr>
    </w:lvl>
    <w:lvl w:ilvl="6" w:tplc="E45E7554" w:tentative="1">
      <w:start w:val="1"/>
      <w:numFmt w:val="bullet"/>
      <w:lvlText w:val=" "/>
      <w:lvlJc w:val="left"/>
      <w:pPr>
        <w:tabs>
          <w:tab w:val="num" w:pos="4680"/>
        </w:tabs>
        <w:ind w:left="4680" w:hanging="360"/>
      </w:pPr>
      <w:rPr>
        <w:rFonts w:ascii="Calibri" w:hAnsi="Calibri" w:hint="default"/>
      </w:rPr>
    </w:lvl>
    <w:lvl w:ilvl="7" w:tplc="8200B0FA" w:tentative="1">
      <w:start w:val="1"/>
      <w:numFmt w:val="bullet"/>
      <w:lvlText w:val=" "/>
      <w:lvlJc w:val="left"/>
      <w:pPr>
        <w:tabs>
          <w:tab w:val="num" w:pos="5400"/>
        </w:tabs>
        <w:ind w:left="5400" w:hanging="360"/>
      </w:pPr>
      <w:rPr>
        <w:rFonts w:ascii="Calibri" w:hAnsi="Calibri" w:hint="default"/>
      </w:rPr>
    </w:lvl>
    <w:lvl w:ilvl="8" w:tplc="04DCB404"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244522A5"/>
    <w:multiLevelType w:val="hybridMultilevel"/>
    <w:tmpl w:val="CC5A3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A8"/>
    <w:rsid w:val="000E18EE"/>
    <w:rsid w:val="00196440"/>
    <w:rsid w:val="004202AA"/>
    <w:rsid w:val="00497021"/>
    <w:rsid w:val="004A4273"/>
    <w:rsid w:val="004C11A8"/>
    <w:rsid w:val="0050058E"/>
    <w:rsid w:val="006517E1"/>
    <w:rsid w:val="00681AD9"/>
    <w:rsid w:val="00775E41"/>
    <w:rsid w:val="008825D5"/>
    <w:rsid w:val="008844DC"/>
    <w:rsid w:val="008F035F"/>
    <w:rsid w:val="0092486D"/>
    <w:rsid w:val="009E7B3A"/>
    <w:rsid w:val="00BA0E2F"/>
    <w:rsid w:val="00C4530C"/>
    <w:rsid w:val="00D76EDE"/>
    <w:rsid w:val="00E87475"/>
    <w:rsid w:val="00EA2FA0"/>
    <w:rsid w:val="00F5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8DB2"/>
  <w15:chartTrackingRefBased/>
  <w15:docId w15:val="{F5B1A283-AA04-4814-B805-18F4FA74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C11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11A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C11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11A8"/>
    <w:rPr>
      <w:i/>
      <w:iCs/>
    </w:rPr>
  </w:style>
  <w:style w:type="character" w:styleId="Hyperlink">
    <w:name w:val="Hyperlink"/>
    <w:basedOn w:val="DefaultParagraphFont"/>
    <w:uiPriority w:val="99"/>
    <w:unhideWhenUsed/>
    <w:rsid w:val="004C11A8"/>
    <w:rPr>
      <w:color w:val="0563C1" w:themeColor="hyperlink"/>
      <w:u w:val="single"/>
    </w:rPr>
  </w:style>
  <w:style w:type="character" w:styleId="UnresolvedMention">
    <w:name w:val="Unresolved Mention"/>
    <w:basedOn w:val="DefaultParagraphFont"/>
    <w:uiPriority w:val="99"/>
    <w:semiHidden/>
    <w:unhideWhenUsed/>
    <w:rsid w:val="004C11A8"/>
    <w:rPr>
      <w:color w:val="808080"/>
      <w:shd w:val="clear" w:color="auto" w:fill="E6E6E6"/>
    </w:rPr>
  </w:style>
  <w:style w:type="paragraph" w:styleId="ListParagraph">
    <w:name w:val="List Paragraph"/>
    <w:basedOn w:val="Normal"/>
    <w:uiPriority w:val="34"/>
    <w:qFormat/>
    <w:rsid w:val="00EA2FA0"/>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53E12"/>
    <w:pPr>
      <w:widowControl w:val="0"/>
      <w:spacing w:before="1" w:after="0" w:line="240" w:lineRule="auto"/>
      <w:ind w:left="102" w:hanging="72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F53E12"/>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93315">
      <w:bodyDiv w:val="1"/>
      <w:marLeft w:val="0"/>
      <w:marRight w:val="0"/>
      <w:marTop w:val="0"/>
      <w:marBottom w:val="0"/>
      <w:divBdr>
        <w:top w:val="none" w:sz="0" w:space="0" w:color="auto"/>
        <w:left w:val="none" w:sz="0" w:space="0" w:color="auto"/>
        <w:bottom w:val="none" w:sz="0" w:space="0" w:color="auto"/>
        <w:right w:val="none" w:sz="0" w:space="0" w:color="auto"/>
      </w:divBdr>
    </w:div>
    <w:div w:id="269969023">
      <w:bodyDiv w:val="1"/>
      <w:marLeft w:val="0"/>
      <w:marRight w:val="0"/>
      <w:marTop w:val="0"/>
      <w:marBottom w:val="0"/>
      <w:divBdr>
        <w:top w:val="none" w:sz="0" w:space="0" w:color="auto"/>
        <w:left w:val="none" w:sz="0" w:space="0" w:color="auto"/>
        <w:bottom w:val="none" w:sz="0" w:space="0" w:color="auto"/>
        <w:right w:val="none" w:sz="0" w:space="0" w:color="auto"/>
      </w:divBdr>
      <w:divsChild>
        <w:div w:id="1976910856">
          <w:marLeft w:val="0"/>
          <w:marRight w:val="0"/>
          <w:marTop w:val="0"/>
          <w:marBottom w:val="0"/>
          <w:divBdr>
            <w:top w:val="none" w:sz="0" w:space="0" w:color="auto"/>
            <w:left w:val="none" w:sz="0" w:space="0" w:color="auto"/>
            <w:bottom w:val="none" w:sz="0" w:space="0" w:color="auto"/>
            <w:right w:val="none" w:sz="0" w:space="0" w:color="auto"/>
          </w:divBdr>
          <w:divsChild>
            <w:div w:id="871454305">
              <w:marLeft w:val="0"/>
              <w:marRight w:val="0"/>
              <w:marTop w:val="0"/>
              <w:marBottom w:val="0"/>
              <w:divBdr>
                <w:top w:val="none" w:sz="0" w:space="0" w:color="auto"/>
                <w:left w:val="none" w:sz="0" w:space="0" w:color="auto"/>
                <w:bottom w:val="none" w:sz="0" w:space="0" w:color="auto"/>
                <w:right w:val="none" w:sz="0" w:space="0" w:color="auto"/>
              </w:divBdr>
            </w:div>
          </w:divsChild>
        </w:div>
        <w:div w:id="65956955">
          <w:marLeft w:val="0"/>
          <w:marRight w:val="0"/>
          <w:marTop w:val="0"/>
          <w:marBottom w:val="0"/>
          <w:divBdr>
            <w:top w:val="none" w:sz="0" w:space="0" w:color="auto"/>
            <w:left w:val="none" w:sz="0" w:space="0" w:color="auto"/>
            <w:bottom w:val="none" w:sz="0" w:space="0" w:color="auto"/>
            <w:right w:val="none" w:sz="0" w:space="0" w:color="auto"/>
          </w:divBdr>
          <w:divsChild>
            <w:div w:id="1708601684">
              <w:marLeft w:val="0"/>
              <w:marRight w:val="0"/>
              <w:marTop w:val="0"/>
              <w:marBottom w:val="0"/>
              <w:divBdr>
                <w:top w:val="none" w:sz="0" w:space="0" w:color="auto"/>
                <w:left w:val="none" w:sz="0" w:space="0" w:color="auto"/>
                <w:bottom w:val="none" w:sz="0" w:space="0" w:color="auto"/>
                <w:right w:val="none" w:sz="0" w:space="0" w:color="auto"/>
              </w:divBdr>
              <w:divsChild>
                <w:div w:id="21130353">
                  <w:marLeft w:val="0"/>
                  <w:marRight w:val="0"/>
                  <w:marTop w:val="0"/>
                  <w:marBottom w:val="0"/>
                  <w:divBdr>
                    <w:top w:val="none" w:sz="0" w:space="0" w:color="auto"/>
                    <w:left w:val="none" w:sz="0" w:space="0" w:color="auto"/>
                    <w:bottom w:val="none" w:sz="0" w:space="0" w:color="auto"/>
                    <w:right w:val="none" w:sz="0" w:space="0" w:color="auto"/>
                  </w:divBdr>
                </w:div>
              </w:divsChild>
            </w:div>
            <w:div w:id="1769765496">
              <w:marLeft w:val="0"/>
              <w:marRight w:val="0"/>
              <w:marTop w:val="0"/>
              <w:marBottom w:val="0"/>
              <w:divBdr>
                <w:top w:val="none" w:sz="0" w:space="0" w:color="auto"/>
                <w:left w:val="none" w:sz="0" w:space="0" w:color="auto"/>
                <w:bottom w:val="none" w:sz="0" w:space="0" w:color="auto"/>
                <w:right w:val="none" w:sz="0" w:space="0" w:color="auto"/>
              </w:divBdr>
              <w:divsChild>
                <w:div w:id="1732266525">
                  <w:marLeft w:val="0"/>
                  <w:marRight w:val="0"/>
                  <w:marTop w:val="0"/>
                  <w:marBottom w:val="0"/>
                  <w:divBdr>
                    <w:top w:val="none" w:sz="0" w:space="0" w:color="auto"/>
                    <w:left w:val="none" w:sz="0" w:space="0" w:color="auto"/>
                    <w:bottom w:val="none" w:sz="0" w:space="0" w:color="auto"/>
                    <w:right w:val="none" w:sz="0" w:space="0" w:color="auto"/>
                  </w:divBdr>
                  <w:divsChild>
                    <w:div w:id="1907110639">
                      <w:marLeft w:val="0"/>
                      <w:marRight w:val="0"/>
                      <w:marTop w:val="0"/>
                      <w:marBottom w:val="0"/>
                      <w:divBdr>
                        <w:top w:val="none" w:sz="0" w:space="0" w:color="auto"/>
                        <w:left w:val="none" w:sz="0" w:space="0" w:color="auto"/>
                        <w:bottom w:val="none" w:sz="0" w:space="0" w:color="auto"/>
                        <w:right w:val="none" w:sz="0" w:space="0" w:color="auto"/>
                      </w:divBdr>
                    </w:div>
                    <w:div w:id="759063971">
                      <w:marLeft w:val="0"/>
                      <w:marRight w:val="0"/>
                      <w:marTop w:val="0"/>
                      <w:marBottom w:val="0"/>
                      <w:divBdr>
                        <w:top w:val="none" w:sz="0" w:space="0" w:color="auto"/>
                        <w:left w:val="none" w:sz="0" w:space="0" w:color="auto"/>
                        <w:bottom w:val="none" w:sz="0" w:space="0" w:color="auto"/>
                        <w:right w:val="none" w:sz="0" w:space="0" w:color="auto"/>
                      </w:divBdr>
                      <w:divsChild>
                        <w:div w:id="155345127">
                          <w:marLeft w:val="0"/>
                          <w:marRight w:val="0"/>
                          <w:marTop w:val="0"/>
                          <w:marBottom w:val="0"/>
                          <w:divBdr>
                            <w:top w:val="none" w:sz="0" w:space="0" w:color="auto"/>
                            <w:left w:val="none" w:sz="0" w:space="0" w:color="auto"/>
                            <w:bottom w:val="none" w:sz="0" w:space="0" w:color="auto"/>
                            <w:right w:val="none" w:sz="0" w:space="0" w:color="auto"/>
                          </w:divBdr>
                        </w:div>
                      </w:divsChild>
                    </w:div>
                    <w:div w:id="963926484">
                      <w:marLeft w:val="0"/>
                      <w:marRight w:val="0"/>
                      <w:marTop w:val="0"/>
                      <w:marBottom w:val="0"/>
                      <w:divBdr>
                        <w:top w:val="none" w:sz="0" w:space="0" w:color="auto"/>
                        <w:left w:val="none" w:sz="0" w:space="0" w:color="auto"/>
                        <w:bottom w:val="none" w:sz="0" w:space="0" w:color="auto"/>
                        <w:right w:val="none" w:sz="0" w:space="0" w:color="auto"/>
                      </w:divBdr>
                      <w:divsChild>
                        <w:div w:id="921917594">
                          <w:marLeft w:val="0"/>
                          <w:marRight w:val="0"/>
                          <w:marTop w:val="0"/>
                          <w:marBottom w:val="0"/>
                          <w:divBdr>
                            <w:top w:val="none" w:sz="0" w:space="0" w:color="auto"/>
                            <w:left w:val="none" w:sz="0" w:space="0" w:color="auto"/>
                            <w:bottom w:val="none" w:sz="0" w:space="0" w:color="auto"/>
                            <w:right w:val="none" w:sz="0" w:space="0" w:color="auto"/>
                          </w:divBdr>
                        </w:div>
                      </w:divsChild>
                    </w:div>
                    <w:div w:id="467741572">
                      <w:marLeft w:val="0"/>
                      <w:marRight w:val="0"/>
                      <w:marTop w:val="0"/>
                      <w:marBottom w:val="0"/>
                      <w:divBdr>
                        <w:top w:val="none" w:sz="0" w:space="0" w:color="auto"/>
                        <w:left w:val="none" w:sz="0" w:space="0" w:color="auto"/>
                        <w:bottom w:val="none" w:sz="0" w:space="0" w:color="auto"/>
                        <w:right w:val="none" w:sz="0" w:space="0" w:color="auto"/>
                      </w:divBdr>
                      <w:divsChild>
                        <w:div w:id="891385528">
                          <w:marLeft w:val="0"/>
                          <w:marRight w:val="0"/>
                          <w:marTop w:val="0"/>
                          <w:marBottom w:val="0"/>
                          <w:divBdr>
                            <w:top w:val="none" w:sz="0" w:space="0" w:color="auto"/>
                            <w:left w:val="none" w:sz="0" w:space="0" w:color="auto"/>
                            <w:bottom w:val="none" w:sz="0" w:space="0" w:color="auto"/>
                            <w:right w:val="none" w:sz="0" w:space="0" w:color="auto"/>
                          </w:divBdr>
                        </w:div>
                      </w:divsChild>
                    </w:div>
                    <w:div w:id="1198740230">
                      <w:marLeft w:val="0"/>
                      <w:marRight w:val="0"/>
                      <w:marTop w:val="0"/>
                      <w:marBottom w:val="0"/>
                      <w:divBdr>
                        <w:top w:val="none" w:sz="0" w:space="0" w:color="auto"/>
                        <w:left w:val="none" w:sz="0" w:space="0" w:color="auto"/>
                        <w:bottom w:val="none" w:sz="0" w:space="0" w:color="auto"/>
                        <w:right w:val="none" w:sz="0" w:space="0" w:color="auto"/>
                      </w:divBdr>
                      <w:divsChild>
                        <w:div w:id="1796678323">
                          <w:marLeft w:val="0"/>
                          <w:marRight w:val="0"/>
                          <w:marTop w:val="0"/>
                          <w:marBottom w:val="0"/>
                          <w:divBdr>
                            <w:top w:val="none" w:sz="0" w:space="0" w:color="auto"/>
                            <w:left w:val="none" w:sz="0" w:space="0" w:color="auto"/>
                            <w:bottom w:val="none" w:sz="0" w:space="0" w:color="auto"/>
                            <w:right w:val="none" w:sz="0" w:space="0" w:color="auto"/>
                          </w:divBdr>
                        </w:div>
                      </w:divsChild>
                    </w:div>
                    <w:div w:id="1225604533">
                      <w:marLeft w:val="0"/>
                      <w:marRight w:val="0"/>
                      <w:marTop w:val="0"/>
                      <w:marBottom w:val="0"/>
                      <w:divBdr>
                        <w:top w:val="none" w:sz="0" w:space="0" w:color="auto"/>
                        <w:left w:val="none" w:sz="0" w:space="0" w:color="auto"/>
                        <w:bottom w:val="none" w:sz="0" w:space="0" w:color="auto"/>
                        <w:right w:val="none" w:sz="0" w:space="0" w:color="auto"/>
                      </w:divBdr>
                      <w:divsChild>
                        <w:div w:id="697315548">
                          <w:marLeft w:val="0"/>
                          <w:marRight w:val="0"/>
                          <w:marTop w:val="0"/>
                          <w:marBottom w:val="0"/>
                          <w:divBdr>
                            <w:top w:val="none" w:sz="0" w:space="0" w:color="auto"/>
                            <w:left w:val="none" w:sz="0" w:space="0" w:color="auto"/>
                            <w:bottom w:val="none" w:sz="0" w:space="0" w:color="auto"/>
                            <w:right w:val="none" w:sz="0" w:space="0" w:color="auto"/>
                          </w:divBdr>
                        </w:div>
                        <w:div w:id="1318849925">
                          <w:marLeft w:val="0"/>
                          <w:marRight w:val="0"/>
                          <w:marTop w:val="0"/>
                          <w:marBottom w:val="0"/>
                          <w:divBdr>
                            <w:top w:val="none" w:sz="0" w:space="0" w:color="auto"/>
                            <w:left w:val="none" w:sz="0" w:space="0" w:color="auto"/>
                            <w:bottom w:val="none" w:sz="0" w:space="0" w:color="auto"/>
                            <w:right w:val="none" w:sz="0" w:space="0" w:color="auto"/>
                          </w:divBdr>
                          <w:divsChild>
                            <w:div w:id="221327696">
                              <w:marLeft w:val="0"/>
                              <w:marRight w:val="0"/>
                              <w:marTop w:val="0"/>
                              <w:marBottom w:val="0"/>
                              <w:divBdr>
                                <w:top w:val="none" w:sz="0" w:space="0" w:color="auto"/>
                                <w:left w:val="none" w:sz="0" w:space="0" w:color="auto"/>
                                <w:bottom w:val="none" w:sz="0" w:space="0" w:color="auto"/>
                                <w:right w:val="none" w:sz="0" w:space="0" w:color="auto"/>
                              </w:divBdr>
                            </w:div>
                          </w:divsChild>
                        </w:div>
                        <w:div w:id="340742433">
                          <w:marLeft w:val="0"/>
                          <w:marRight w:val="0"/>
                          <w:marTop w:val="0"/>
                          <w:marBottom w:val="0"/>
                          <w:divBdr>
                            <w:top w:val="none" w:sz="0" w:space="0" w:color="auto"/>
                            <w:left w:val="none" w:sz="0" w:space="0" w:color="auto"/>
                            <w:bottom w:val="none" w:sz="0" w:space="0" w:color="auto"/>
                            <w:right w:val="none" w:sz="0" w:space="0" w:color="auto"/>
                          </w:divBdr>
                          <w:divsChild>
                            <w:div w:id="715469948">
                              <w:marLeft w:val="0"/>
                              <w:marRight w:val="0"/>
                              <w:marTop w:val="0"/>
                              <w:marBottom w:val="0"/>
                              <w:divBdr>
                                <w:top w:val="none" w:sz="0" w:space="0" w:color="auto"/>
                                <w:left w:val="none" w:sz="0" w:space="0" w:color="auto"/>
                                <w:bottom w:val="none" w:sz="0" w:space="0" w:color="auto"/>
                                <w:right w:val="none" w:sz="0" w:space="0" w:color="auto"/>
                              </w:divBdr>
                            </w:div>
                          </w:divsChild>
                        </w:div>
                        <w:div w:id="388070286">
                          <w:marLeft w:val="0"/>
                          <w:marRight w:val="0"/>
                          <w:marTop w:val="0"/>
                          <w:marBottom w:val="0"/>
                          <w:divBdr>
                            <w:top w:val="none" w:sz="0" w:space="0" w:color="auto"/>
                            <w:left w:val="none" w:sz="0" w:space="0" w:color="auto"/>
                            <w:bottom w:val="none" w:sz="0" w:space="0" w:color="auto"/>
                            <w:right w:val="none" w:sz="0" w:space="0" w:color="auto"/>
                          </w:divBdr>
                          <w:divsChild>
                            <w:div w:id="1839736291">
                              <w:marLeft w:val="0"/>
                              <w:marRight w:val="0"/>
                              <w:marTop w:val="0"/>
                              <w:marBottom w:val="0"/>
                              <w:divBdr>
                                <w:top w:val="none" w:sz="0" w:space="0" w:color="auto"/>
                                <w:left w:val="none" w:sz="0" w:space="0" w:color="auto"/>
                                <w:bottom w:val="none" w:sz="0" w:space="0" w:color="auto"/>
                                <w:right w:val="none" w:sz="0" w:space="0" w:color="auto"/>
                              </w:divBdr>
                            </w:div>
                          </w:divsChild>
                        </w:div>
                        <w:div w:id="1647054766">
                          <w:marLeft w:val="0"/>
                          <w:marRight w:val="0"/>
                          <w:marTop w:val="0"/>
                          <w:marBottom w:val="0"/>
                          <w:divBdr>
                            <w:top w:val="none" w:sz="0" w:space="0" w:color="auto"/>
                            <w:left w:val="none" w:sz="0" w:space="0" w:color="auto"/>
                            <w:bottom w:val="none" w:sz="0" w:space="0" w:color="auto"/>
                            <w:right w:val="none" w:sz="0" w:space="0" w:color="auto"/>
                          </w:divBdr>
                          <w:divsChild>
                            <w:div w:id="697898839">
                              <w:marLeft w:val="0"/>
                              <w:marRight w:val="0"/>
                              <w:marTop w:val="0"/>
                              <w:marBottom w:val="0"/>
                              <w:divBdr>
                                <w:top w:val="none" w:sz="0" w:space="0" w:color="auto"/>
                                <w:left w:val="none" w:sz="0" w:space="0" w:color="auto"/>
                                <w:bottom w:val="none" w:sz="0" w:space="0" w:color="auto"/>
                                <w:right w:val="none" w:sz="0" w:space="0" w:color="auto"/>
                              </w:divBdr>
                            </w:div>
                          </w:divsChild>
                        </w:div>
                        <w:div w:id="1040088148">
                          <w:marLeft w:val="0"/>
                          <w:marRight w:val="0"/>
                          <w:marTop w:val="0"/>
                          <w:marBottom w:val="0"/>
                          <w:divBdr>
                            <w:top w:val="none" w:sz="0" w:space="0" w:color="auto"/>
                            <w:left w:val="none" w:sz="0" w:space="0" w:color="auto"/>
                            <w:bottom w:val="none" w:sz="0" w:space="0" w:color="auto"/>
                            <w:right w:val="none" w:sz="0" w:space="0" w:color="auto"/>
                          </w:divBdr>
                          <w:divsChild>
                            <w:div w:id="1857766576">
                              <w:marLeft w:val="0"/>
                              <w:marRight w:val="0"/>
                              <w:marTop w:val="0"/>
                              <w:marBottom w:val="0"/>
                              <w:divBdr>
                                <w:top w:val="none" w:sz="0" w:space="0" w:color="auto"/>
                                <w:left w:val="none" w:sz="0" w:space="0" w:color="auto"/>
                                <w:bottom w:val="none" w:sz="0" w:space="0" w:color="auto"/>
                                <w:right w:val="none" w:sz="0" w:space="0" w:color="auto"/>
                              </w:divBdr>
                            </w:div>
                          </w:divsChild>
                        </w:div>
                        <w:div w:id="2141993694">
                          <w:marLeft w:val="0"/>
                          <w:marRight w:val="0"/>
                          <w:marTop w:val="0"/>
                          <w:marBottom w:val="0"/>
                          <w:divBdr>
                            <w:top w:val="none" w:sz="0" w:space="0" w:color="auto"/>
                            <w:left w:val="none" w:sz="0" w:space="0" w:color="auto"/>
                            <w:bottom w:val="none" w:sz="0" w:space="0" w:color="auto"/>
                            <w:right w:val="none" w:sz="0" w:space="0" w:color="auto"/>
                          </w:divBdr>
                          <w:divsChild>
                            <w:div w:id="1042558509">
                              <w:marLeft w:val="0"/>
                              <w:marRight w:val="0"/>
                              <w:marTop w:val="0"/>
                              <w:marBottom w:val="0"/>
                              <w:divBdr>
                                <w:top w:val="none" w:sz="0" w:space="0" w:color="auto"/>
                                <w:left w:val="none" w:sz="0" w:space="0" w:color="auto"/>
                                <w:bottom w:val="none" w:sz="0" w:space="0" w:color="auto"/>
                                <w:right w:val="none" w:sz="0" w:space="0" w:color="auto"/>
                              </w:divBdr>
                            </w:div>
                          </w:divsChild>
                        </w:div>
                        <w:div w:id="1808814551">
                          <w:marLeft w:val="0"/>
                          <w:marRight w:val="0"/>
                          <w:marTop w:val="0"/>
                          <w:marBottom w:val="0"/>
                          <w:divBdr>
                            <w:top w:val="none" w:sz="0" w:space="0" w:color="auto"/>
                            <w:left w:val="none" w:sz="0" w:space="0" w:color="auto"/>
                            <w:bottom w:val="none" w:sz="0" w:space="0" w:color="auto"/>
                            <w:right w:val="none" w:sz="0" w:space="0" w:color="auto"/>
                          </w:divBdr>
                          <w:divsChild>
                            <w:div w:id="16826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659784">
      <w:bodyDiv w:val="1"/>
      <w:marLeft w:val="0"/>
      <w:marRight w:val="0"/>
      <w:marTop w:val="0"/>
      <w:marBottom w:val="0"/>
      <w:divBdr>
        <w:top w:val="none" w:sz="0" w:space="0" w:color="auto"/>
        <w:left w:val="none" w:sz="0" w:space="0" w:color="auto"/>
        <w:bottom w:val="none" w:sz="0" w:space="0" w:color="auto"/>
        <w:right w:val="none" w:sz="0" w:space="0" w:color="auto"/>
      </w:divBdr>
      <w:divsChild>
        <w:div w:id="2021347138">
          <w:marLeft w:val="144"/>
          <w:marRight w:val="0"/>
          <w:marTop w:val="240"/>
          <w:marBottom w:val="40"/>
          <w:divBdr>
            <w:top w:val="none" w:sz="0" w:space="0" w:color="auto"/>
            <w:left w:val="none" w:sz="0" w:space="0" w:color="auto"/>
            <w:bottom w:val="none" w:sz="0" w:space="0" w:color="auto"/>
            <w:right w:val="none" w:sz="0" w:space="0" w:color="auto"/>
          </w:divBdr>
        </w:div>
        <w:div w:id="2022269260">
          <w:marLeft w:val="144"/>
          <w:marRight w:val="0"/>
          <w:marTop w:val="240"/>
          <w:marBottom w:val="40"/>
          <w:divBdr>
            <w:top w:val="none" w:sz="0" w:space="0" w:color="auto"/>
            <w:left w:val="none" w:sz="0" w:space="0" w:color="auto"/>
            <w:bottom w:val="none" w:sz="0" w:space="0" w:color="auto"/>
            <w:right w:val="none" w:sz="0" w:space="0" w:color="auto"/>
          </w:divBdr>
        </w:div>
        <w:div w:id="147595236">
          <w:marLeft w:val="144"/>
          <w:marRight w:val="0"/>
          <w:marTop w:val="240"/>
          <w:marBottom w:val="40"/>
          <w:divBdr>
            <w:top w:val="none" w:sz="0" w:space="0" w:color="auto"/>
            <w:left w:val="none" w:sz="0" w:space="0" w:color="auto"/>
            <w:bottom w:val="none" w:sz="0" w:space="0" w:color="auto"/>
            <w:right w:val="none" w:sz="0" w:space="0" w:color="auto"/>
          </w:divBdr>
        </w:div>
        <w:div w:id="192931454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ddiemac.com/creditsmart/" TargetMode="External"/><Relationship Id="rId5" Type="http://schemas.openxmlformats.org/officeDocument/2006/relationships/hyperlink" Target="https://www.annualcreditreport.com/index.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Singleton</dc:creator>
  <cp:keywords/>
  <dc:description/>
  <cp:lastModifiedBy>Jeff Singleton</cp:lastModifiedBy>
  <cp:revision>3</cp:revision>
  <dcterms:created xsi:type="dcterms:W3CDTF">2018-08-20T20:29:00Z</dcterms:created>
  <dcterms:modified xsi:type="dcterms:W3CDTF">2018-08-20T22:47:00Z</dcterms:modified>
</cp:coreProperties>
</file>